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6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8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4"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71" w:lineRule="exact"/>
        <w:rPr>
          <w:sz w:val="24"/>
          <w:szCs w:val="24"/>
          <w:color w:val="auto"/>
        </w:rPr>
      </w:pPr>
    </w:p>
    <w:p>
      <w:pPr>
        <w:ind w:left="38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3949065</wp:posOffset>
            </wp:positionH>
            <wp:positionV relativeFrom="paragraph">
              <wp:posOffset>-5080</wp:posOffset>
            </wp:positionV>
            <wp:extent cx="2857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001-36620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ELEDON PHARMACEUTICALS, INC.</w:t>
      </w:r>
    </w:p>
    <w:p>
      <w:pPr>
        <w:spacing w:after="0" w:line="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500" w:type="dxa"/>
            <w:vAlign w:val="bottom"/>
          </w:tcPr>
          <w:p>
            <w:pPr>
              <w:jc w:val="center"/>
              <w:ind w:left="9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80" w:type="dxa"/>
            <w:vAlign w:val="bottom"/>
          </w:tcPr>
          <w:p>
            <w:pPr>
              <w:jc w:val="right"/>
              <w:ind w:right="2242"/>
              <w:spacing w:after="0"/>
              <w:rPr>
                <w:sz w:val="20"/>
                <w:szCs w:val="20"/>
                <w:color w:val="auto"/>
              </w:rPr>
            </w:pPr>
            <w:r>
              <w:rPr>
                <w:rFonts w:ascii="Times New Roman" w:cs="Times New Roman" w:eastAsia="Times New Roman" w:hAnsi="Times New Roman"/>
                <w:sz w:val="18"/>
                <w:szCs w:val="18"/>
                <w:b w:val="1"/>
                <w:bCs w:val="1"/>
                <w:color w:val="auto"/>
              </w:rPr>
              <w:t>20-1000967</w:t>
            </w:r>
          </w:p>
        </w:tc>
        <w:tc>
          <w:tcPr>
            <w:tcW w:w="0" w:type="dxa"/>
            <w:vAlign w:val="bottom"/>
          </w:tcPr>
          <w:p>
            <w:pPr>
              <w:spacing w:after="0"/>
              <w:rPr>
                <w:sz w:val="1"/>
                <w:szCs w:val="1"/>
                <w:color w:val="auto"/>
              </w:rPr>
            </w:pPr>
          </w:p>
        </w:tc>
      </w:tr>
      <w:tr>
        <w:trPr>
          <w:trHeight w:val="149"/>
        </w:trPr>
        <w:tc>
          <w:tcPr>
            <w:tcW w:w="4500" w:type="dxa"/>
            <w:vAlign w:val="bottom"/>
          </w:tcPr>
          <w:p>
            <w:pPr>
              <w:jc w:val="center"/>
              <w:ind w:left="9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580" w:type="dxa"/>
            <w:vAlign w:val="bottom"/>
          </w:tcPr>
          <w:p>
            <w:pPr>
              <w:jc w:val="center"/>
              <w:ind w:right="18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tcPr>
          <w:p>
            <w:pPr>
              <w:jc w:val="center"/>
              <w:ind w:left="9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580" w:type="dxa"/>
            <w:vAlign w:val="bottom"/>
          </w:tcPr>
          <w:p>
            <w:pPr>
              <w:jc w:val="center"/>
              <w:ind w:right="1842"/>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12"/>
        </w:trPr>
        <w:tc>
          <w:tcPr>
            <w:tcW w:w="4500" w:type="dxa"/>
            <w:vAlign w:val="bottom"/>
          </w:tcPr>
          <w:p>
            <w:pPr>
              <w:jc w:val="center"/>
              <w:ind w:left="940"/>
              <w:spacing w:after="0"/>
              <w:rPr>
                <w:sz w:val="20"/>
                <w:szCs w:val="20"/>
                <w:color w:val="auto"/>
              </w:rPr>
            </w:pPr>
            <w:r>
              <w:rPr>
                <w:rFonts w:ascii="Times New Roman" w:cs="Times New Roman" w:eastAsia="Times New Roman" w:hAnsi="Times New Roman"/>
                <w:sz w:val="18"/>
                <w:szCs w:val="18"/>
                <w:b w:val="1"/>
                <w:bCs w:val="1"/>
                <w:color w:val="auto"/>
              </w:rPr>
              <w:t>19800 MacArthur Blvd., Suite 250</w:t>
            </w: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00" w:type="dxa"/>
            <w:vAlign w:val="bottom"/>
          </w:tcPr>
          <w:p>
            <w:pPr>
              <w:jc w:val="center"/>
              <w:ind w:left="940"/>
              <w:spacing w:after="0"/>
              <w:rPr>
                <w:sz w:val="20"/>
                <w:szCs w:val="20"/>
                <w:color w:val="auto"/>
              </w:rPr>
            </w:pPr>
            <w:r>
              <w:rPr>
                <w:rFonts w:ascii="Times New Roman" w:cs="Times New Roman" w:eastAsia="Times New Roman" w:hAnsi="Times New Roman"/>
                <w:sz w:val="18"/>
                <w:szCs w:val="18"/>
                <w:b w:val="1"/>
                <w:bCs w:val="1"/>
                <w:color w:val="auto"/>
              </w:rPr>
              <w:t>Irvine, California</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580" w:type="dxa"/>
            <w:vAlign w:val="bottom"/>
          </w:tcPr>
          <w:p>
            <w:pPr>
              <w:jc w:val="right"/>
              <w:ind w:right="2442"/>
              <w:spacing w:after="0"/>
              <w:rPr>
                <w:sz w:val="20"/>
                <w:szCs w:val="20"/>
                <w:color w:val="auto"/>
              </w:rPr>
            </w:pPr>
            <w:r>
              <w:rPr>
                <w:rFonts w:ascii="Times New Roman" w:cs="Times New Roman" w:eastAsia="Times New Roman" w:hAnsi="Times New Roman"/>
                <w:sz w:val="18"/>
                <w:szCs w:val="18"/>
                <w:b w:val="1"/>
                <w:bCs w:val="1"/>
                <w:color w:val="auto"/>
              </w:rPr>
              <w:t>92612</w:t>
            </w:r>
          </w:p>
        </w:tc>
        <w:tc>
          <w:tcPr>
            <w:tcW w:w="0" w:type="dxa"/>
            <w:vAlign w:val="bottom"/>
          </w:tcPr>
          <w:p>
            <w:pPr>
              <w:spacing w:after="0"/>
              <w:rPr>
                <w:sz w:val="1"/>
                <w:szCs w:val="1"/>
                <w:color w:val="auto"/>
              </w:rPr>
            </w:pPr>
          </w:p>
        </w:tc>
      </w:tr>
      <w:tr>
        <w:trPr>
          <w:trHeight w:val="190"/>
        </w:trPr>
        <w:tc>
          <w:tcPr>
            <w:tcW w:w="4500" w:type="dxa"/>
            <w:vAlign w:val="bottom"/>
          </w:tcPr>
          <w:p>
            <w:pPr>
              <w:jc w:val="center"/>
              <w:ind w:left="9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580" w:type="dxa"/>
            <w:vAlign w:val="bottom"/>
          </w:tcPr>
          <w:p>
            <w:pPr>
              <w:jc w:val="center"/>
              <w:ind w:right="1842"/>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40"/>
        </w:trPr>
        <w:tc>
          <w:tcPr>
            <w:tcW w:w="4500" w:type="dxa"/>
            <w:vAlign w:val="bottom"/>
          </w:tcPr>
          <w:p>
            <w:pPr>
              <w:spacing w:after="0"/>
              <w:rPr>
                <w:sz w:val="24"/>
                <w:szCs w:val="24"/>
                <w:color w:val="auto"/>
              </w:rPr>
            </w:pPr>
          </w:p>
        </w:tc>
        <w:tc>
          <w:tcPr>
            <w:tcW w:w="214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(949) 238-8090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660" w:type="dxa"/>
            <w:vAlign w:val="bottom"/>
            <w:gridSpan w:val="6"/>
          </w:tcPr>
          <w:p>
            <w:pPr>
              <w:jc w:val="center"/>
              <w:ind w:left="35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4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660" w:type="dxa"/>
            <w:vAlign w:val="bottom"/>
            <w:gridSpan w:val="6"/>
          </w:tcPr>
          <w:p>
            <w:pPr>
              <w:ind w:left="36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8"/>
                <w:szCs w:val="18"/>
                <w:color w:val="auto"/>
              </w:rPr>
            </w:pPr>
          </w:p>
        </w:tc>
        <w:tc>
          <w:tcPr>
            <w:tcW w:w="3040" w:type="dxa"/>
            <w:vAlign w:val="bottom"/>
            <w:gridSpan w:val="4"/>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vMerge w:val="restart"/>
          </w:tcPr>
          <w:p>
            <w:pPr>
              <w:jc w:val="center"/>
              <w:ind w:right="82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4"/>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ELDN</w:t>
            </w:r>
          </w:p>
        </w:tc>
        <w:tc>
          <w:tcPr>
            <w:tcW w:w="120" w:type="dxa"/>
            <w:vAlign w:val="bottom"/>
          </w:tcPr>
          <w:p>
            <w:pPr>
              <w:spacing w:after="0"/>
              <w:rPr>
                <w:sz w:val="17"/>
                <w:szCs w:val="17"/>
                <w:color w:val="auto"/>
              </w:rPr>
            </w:pPr>
          </w:p>
        </w:tc>
        <w:tc>
          <w:tcPr>
            <w:tcW w:w="900" w:type="dxa"/>
            <w:vAlign w:val="bottom"/>
            <w:tcBorders>
              <w:top w:val="single" w:sz="8" w:color="auto"/>
            </w:tcBorders>
            <w:gridSpan w:val="2"/>
          </w:tcPr>
          <w:p>
            <w:pPr>
              <w:spacing w:after="0"/>
              <w:rPr>
                <w:sz w:val="17"/>
                <w:szCs w:val="17"/>
                <w:color w:val="auto"/>
              </w:rPr>
            </w:pPr>
          </w:p>
        </w:tc>
        <w:tc>
          <w:tcPr>
            <w:tcW w:w="3580" w:type="dxa"/>
            <w:vAlign w:val="bottom"/>
            <w:tcBorders>
              <w:top w:val="single" w:sz="8" w:color="auto"/>
            </w:tcBorders>
          </w:tcPr>
          <w:p>
            <w:pPr>
              <w:jc w:val="center"/>
              <w:ind w:right="822"/>
              <w:spacing w:after="0"/>
              <w:rPr>
                <w:sz w:val="20"/>
                <w:szCs w:val="20"/>
                <w:color w:val="auto"/>
              </w:rPr>
            </w:pPr>
            <w:r>
              <w:rPr>
                <w:rFonts w:ascii="Times New Roman" w:cs="Times New Roman" w:eastAsia="Times New Roman" w:hAnsi="Times New Roman"/>
                <w:sz w:val="16"/>
                <w:szCs w:val="16"/>
                <w:color w:val="auto"/>
              </w:rPr>
              <w:t>Nasdaq Capital Market</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both"/>
        <w:ind w:firstLine="509"/>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40" w:hanging="232"/>
        <w:spacing w:after="0" w:line="184" w:lineRule="exact"/>
        <w:tabs>
          <w:tab w:leader="none" w:pos="24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65"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1" w:lineRule="exact"/>
        <w:rPr>
          <w:sz w:val="24"/>
          <w:szCs w:val="24"/>
          <w:color w:val="auto"/>
        </w:rPr>
      </w:pPr>
    </w:p>
    <w:p>
      <w:pPr>
        <w:jc w:val="both"/>
        <w:ind w:right="200" w:firstLine="509"/>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18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2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4" w:lineRule="exact"/>
        <w:rPr>
          <w:sz w:val="24"/>
          <w:szCs w:val="24"/>
          <w:color w:val="auto"/>
        </w:rPr>
      </w:pPr>
    </w:p>
    <w:p>
      <w:pPr>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right="214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As of May 7, 2026 there were 77,187,823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Note Regarding Forward-Looking Statements</w:t>
      </w:r>
    </w:p>
    <w:p>
      <w:pPr>
        <w:spacing w:after="0" w:line="121" w:lineRule="exact"/>
        <w:rPr>
          <w:sz w:val="20"/>
          <w:szCs w:val="20"/>
          <w:color w:val="auto"/>
        </w:rPr>
      </w:pPr>
    </w:p>
    <w:p>
      <w:pPr>
        <w:ind w:right="80" w:firstLine="599"/>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as defined by the Private Securities Litigation Reform Act of 1995, which statements involve substantial risks and uncertainties. Any statements other than statements of historical or current fact in this Quarterly Report on Form 10-Q are forward looking statements. In some instances, you can identify forward-looking statements by the use of words such as “believes,” “anticipates,” “plans,” “expects,” “estimates,” “intends,” “predicts,” “projects,” “targets,” “could,” “may,” “will,” and similar expressions, although not all forward-looking statements include such identifying words. Forward-looking statements include, but are not limited to statements regarding:</w:t>
      </w:r>
    </w:p>
    <w:p>
      <w:pPr>
        <w:spacing w:after="0" w:line="75" w:lineRule="exact"/>
        <w:rPr>
          <w:sz w:val="20"/>
          <w:szCs w:val="20"/>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development plans, expectations for and the timing of commencement, enrollment, completion, data, and release of results of clinical trials for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liquidity, expenses,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with respect to our preclinical and clinical development programs, including our expectations regarding the production of clinical quantities of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strategy and timing to obtain and maintain regulatory approvals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competitive conditions for our product candidates;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our future financial performance or condition.</w:t>
      </w:r>
    </w:p>
    <w:p>
      <w:pPr>
        <w:spacing w:after="0" w:line="225" w:lineRule="exact"/>
        <w:rPr>
          <w:sz w:val="20"/>
          <w:szCs w:val="20"/>
          <w:color w:val="auto"/>
        </w:rPr>
      </w:pPr>
    </w:p>
    <w:p>
      <w:pPr>
        <w:ind w:right="40" w:firstLine="599"/>
        <w:spacing w:after="0" w:line="258" w:lineRule="auto"/>
        <w:rPr>
          <w:sz w:val="20"/>
          <w:szCs w:val="20"/>
          <w:color w:val="auto"/>
        </w:rPr>
      </w:pPr>
      <w:r>
        <w:rPr>
          <w:rFonts w:ascii="Times New Roman" w:cs="Times New Roman" w:eastAsia="Times New Roman" w:hAnsi="Times New Roman"/>
          <w:sz w:val="18"/>
          <w:szCs w:val="18"/>
          <w:color w:val="auto"/>
        </w:rPr>
        <w:t xml:space="preserve">Although we believe that we have a reasonable basis for each forward looking statement contained in this Quarterly Report on Form 10-Q, actual results may differ materially from those indicated by such forward-looking statements as a result of various factors, including the factors listed under “Risk Factor Summary” below. These risks and uncertainties, as well as other risks and uncertainties that could cause the Company’s actual results to differ significantly from the forward-looking statements contained herein, are described in greater detail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w:t>
      </w:r>
    </w:p>
    <w:p>
      <w:pPr>
        <w:spacing w:after="0" w:line="183" w:lineRule="exact"/>
        <w:rPr>
          <w:sz w:val="20"/>
          <w:szCs w:val="20"/>
          <w:color w:val="auto"/>
        </w:rPr>
      </w:pPr>
    </w:p>
    <w:p>
      <w:pPr>
        <w:ind w:right="180" w:firstLine="599"/>
        <w:spacing w:after="0" w:line="258" w:lineRule="auto"/>
        <w:rPr>
          <w:sz w:val="20"/>
          <w:szCs w:val="20"/>
          <w:color w:val="auto"/>
        </w:rPr>
      </w:pPr>
      <w:r>
        <w:rPr>
          <w:rFonts w:ascii="Times New Roman" w:cs="Times New Roman" w:eastAsia="Times New Roman" w:hAnsi="Times New Roman"/>
          <w:sz w:val="18"/>
          <w:szCs w:val="18"/>
          <w:color w:val="auto"/>
        </w:rPr>
        <w:t>Forward-looking statements contained in this Quarterly Report on Form 10-Q are based on our current beliefs, assumptions, expectations, estimates and projections, which may be impacted by known or unknown factors. Any forward-looking statements contained in this Quarterly Report on Form 10-Q speak only as of the date hereof and not as of any future date, and the Company expressly disclaims any intent to update any forward-looking statements, whether as a result of new information, future events or otherwise. You are therefore cautioned not to place undue reliance on the forward-looking statements included in this Quarterly Report on Form 10-Q.</w:t>
      </w:r>
    </w:p>
    <w:p>
      <w:pPr>
        <w:spacing w:after="0" w:line="183" w:lineRule="exact"/>
        <w:rPr>
          <w:sz w:val="20"/>
          <w:szCs w:val="20"/>
          <w:color w:val="auto"/>
        </w:rPr>
      </w:pPr>
    </w:p>
    <w:p>
      <w:pPr>
        <w:ind w:right="80" w:firstLine="599"/>
        <w:spacing w:after="0" w:line="261" w:lineRule="auto"/>
        <w:rPr>
          <w:sz w:val="20"/>
          <w:szCs w:val="20"/>
          <w:color w:val="auto"/>
        </w:rPr>
      </w:pPr>
      <w:r>
        <w:rPr>
          <w:rFonts w:ascii="Times New Roman" w:cs="Times New Roman" w:eastAsia="Times New Roman" w:hAnsi="Times New Roman"/>
          <w:sz w:val="18"/>
          <w:szCs w:val="18"/>
          <w:color w:val="auto"/>
        </w:rPr>
        <w:t>The market data and certain other statistical information used in this Quarterly Report on Form 10-Q are based on independent industry publications, governmental publications, reports by market research firms or other independent sources. Some data are also based on our good faith estimates. Information that is based on estimates, forecasts, projections, market research or similar methodologies is inherently subject to uncertainties and actual events or circumstances may differ materially from events and circumstances reflected in this information.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firstLine="599"/>
        <w:spacing w:after="0" w:line="256" w:lineRule="auto"/>
        <w:rPr>
          <w:sz w:val="20"/>
          <w:szCs w:val="20"/>
          <w:color w:val="auto"/>
        </w:rPr>
      </w:pPr>
      <w:r>
        <w:rPr>
          <w:rFonts w:ascii="Times New Roman" w:cs="Times New Roman" w:eastAsia="Times New Roman" w:hAnsi="Times New Roman"/>
          <w:sz w:val="18"/>
          <w:szCs w:val="18"/>
          <w:color w:val="auto"/>
        </w:rPr>
        <w:t xml:space="preserve">The following summarizes the principal factors that make an investment in the Company speculative or risky, all of which are more fully described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 This summary should be read in conjunction with the Risk Factors section and should not be relied upon as an exhaustive summary of the material risks facing our business.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79" w:lineRule="exact"/>
        <w:rPr>
          <w:sz w:val="20"/>
          <w:szCs w:val="20"/>
          <w:color w:val="auto"/>
        </w:rPr>
      </w:pPr>
    </w:p>
    <w:p>
      <w:pPr>
        <w:ind w:left="760" w:right="18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 and shifts in our business strategy may make it difficult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expect that we will continue to incur losses over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funding to be able to complete the development of our lead drug candidate. If we are unable to raise such capital, or if we are unable to do so on acceptable terms, we will be forced to significantly alter our business strategy, substantially curtail our current operations, or liquidate and cease operations altogether.</w:t>
      </w:r>
    </w:p>
    <w:p>
      <w:pPr>
        <w:spacing w:after="0" w:line="67"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5"/>
        </w:numPr>
        <w:rPr>
          <w:rFonts w:ascii="Times New Roman" w:cs="Times New Roman" w:eastAsia="Times New Roman" w:hAnsi="Times New Roman"/>
          <w:sz w:val="18"/>
          <w:szCs w:val="18"/>
          <w:color w:val="080808"/>
        </w:rPr>
      </w:pPr>
      <w:r>
        <w:rPr>
          <w:rFonts w:ascii="Times New Roman" w:cs="Times New Roman" w:eastAsia="Times New Roman" w:hAnsi="Times New Roman"/>
          <w:sz w:val="18"/>
          <w:szCs w:val="18"/>
          <w:color w:val="080808"/>
        </w:rPr>
        <w:t>Future issuances of our common stock, including common stock that may be issuable pursuant to outstanding warrants or other convertible securities, could result in additional dilution of the percentage ownership of our stockholders and could cause our stock price to fall.</w:t>
      </w:r>
    </w:p>
    <w:p>
      <w:pPr>
        <w:spacing w:after="0" w:line="53" w:lineRule="exact"/>
        <w:rPr>
          <w:rFonts w:ascii="Times New Roman" w:cs="Times New Roman" w:eastAsia="Times New Roman" w:hAnsi="Times New Roman"/>
          <w:sz w:val="18"/>
          <w:szCs w:val="18"/>
          <w:color w:val="080808"/>
        </w:rPr>
      </w:pPr>
    </w:p>
    <w:p>
      <w:pPr>
        <w:ind w:left="760" w:right="24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the early stages of clinical development and may not be successfully developed. If we are unable to successfully develop and commercialize these or any other product candidate, or if we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080808"/>
        </w:rPr>
      </w:pPr>
      <w:r>
        <w:rPr>
          <w:rFonts w:ascii="Times New Roman" w:cs="Times New Roman" w:eastAsia="Times New Roman" w:hAnsi="Times New Roman"/>
          <w:sz w:val="18"/>
          <w:szCs w:val="18"/>
          <w:color w:val="080808"/>
        </w:rPr>
        <w:t>Public health crises, including pandemics or epidemics could adversely affect our business.</w:t>
      </w:r>
    </w:p>
    <w:p>
      <w:pPr>
        <w:spacing w:after="0" w:line="117" w:lineRule="exact"/>
        <w:rPr>
          <w:rFonts w:ascii="Times New Roman" w:cs="Times New Roman" w:eastAsia="Times New Roman" w:hAnsi="Times New Roman"/>
          <w:sz w:val="18"/>
          <w:szCs w:val="18"/>
          <w:color w:val="080808"/>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have a material adverse effect on our business.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financial markets, including bank failures, could adversely affect our liquidity and financial performance.</w:t>
      </w:r>
    </w:p>
    <w:p>
      <w:pPr>
        <w:spacing w:after="0" w:line="117" w:lineRule="exact"/>
        <w:rPr>
          <w:rFonts w:ascii="Times New Roman" w:cs="Times New Roman" w:eastAsia="Times New Roman" w:hAnsi="Times New Roman"/>
          <w:sz w:val="18"/>
          <w:szCs w:val="18"/>
          <w:color w:val="auto"/>
        </w:rPr>
      </w:pPr>
    </w:p>
    <w:p>
      <w:pPr>
        <w:ind w:left="760" w:right="4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involves a lengthy and expensive process with an uncertain outcome, including failure to demonstrate safety and efficacy to the satisfaction of the U.S. Food and Drug Administration (“FDA”) or similar regulatory authorities outside the United States. We may incur additional costs or experience delays in completing, or ultimately be unable to complete, the development, formulation and commercialization of our product candidates.</w:t>
      </w:r>
    </w:p>
    <w:p>
      <w:pPr>
        <w:spacing w:after="0" w:line="71" w:lineRule="exact"/>
        <w:rPr>
          <w:rFonts w:ascii="Times New Roman" w:cs="Times New Roman" w:eastAsia="Times New Roman" w:hAnsi="Times New Roman"/>
          <w:sz w:val="18"/>
          <w:szCs w:val="18"/>
          <w:color w:val="auto"/>
        </w:rPr>
      </w:pPr>
    </w:p>
    <w:p>
      <w:pPr>
        <w:jc w:val="both"/>
        <w:ind w:left="760" w:right="28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non-clinical studies and early clinical trials of our product candidates may not be predictive of the results of later-stage clinical trials, and there is a risk that additional non-clinical and/or clinical safety studies will be required by the FDA or similar regulatory authorities outside the United States or that subsequent studies will not match results seen in prior studies.</w:t>
      </w:r>
    </w:p>
    <w:p>
      <w:pPr>
        <w:spacing w:after="0" w:line="67"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the enrollment of patients in clinical trials could delay or prevent our receipt of necessary regulatory approvals and increase expenses for the development of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080808"/>
        </w:rPr>
      </w:pPr>
      <w:r>
        <w:rPr>
          <w:rFonts w:ascii="Times New Roman" w:cs="Times New Roman" w:eastAsia="Times New Roman" w:hAnsi="Times New Roman"/>
          <w:sz w:val="18"/>
          <w:szCs w:val="18"/>
          <w:color w:val="080808"/>
        </w:rPr>
        <w:t>Our ability to conduct clinical trials in some jurisdictions outside of the United States may be adversely affected.</w:t>
      </w:r>
    </w:p>
    <w:p>
      <w:pPr>
        <w:spacing w:after="0" w:line="117" w:lineRule="exact"/>
        <w:rPr>
          <w:rFonts w:ascii="Times New Roman" w:cs="Times New Roman" w:eastAsia="Times New Roman" w:hAnsi="Times New Roman"/>
          <w:sz w:val="18"/>
          <w:szCs w:val="18"/>
          <w:color w:val="080808"/>
        </w:rPr>
      </w:pPr>
    </w:p>
    <w:p>
      <w:pPr>
        <w:ind w:left="760" w:right="1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53"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executives and key employees and to attract, retain and motivate qualified personnel in the future.</w:t>
      </w:r>
    </w:p>
    <w:p>
      <w:pPr>
        <w:spacing w:after="0" w:line="53"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or the approvals may be for a narrow indication, we may not be able to commercialize our product candidates, and our ability to generate revenue may be materially impaired.</w:t>
      </w:r>
    </w:p>
    <w:p>
      <w:pPr>
        <w:spacing w:after="0" w:line="53"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regulating the pharmaceutical and healthcare industries may increase the difficulty and cost for us to obtain marketing approval of and commercialize our product candidates and affect the prices we may obtain.</w:t>
      </w:r>
    </w:p>
    <w:p>
      <w:pPr>
        <w:spacing w:after="0" w:line="53"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of our third-party collaborators, service providers, contractors or consultants, may fail or suffer security breaches, disruptions, or incidents, which could result in a material disruption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right="460"/>
        <w:spacing w:after="0" w:line="282" w:lineRule="auto"/>
        <w:rPr>
          <w:sz w:val="20"/>
          <w:szCs w:val="20"/>
          <w:color w:val="auto"/>
        </w:rPr>
      </w:pPr>
      <w:r>
        <w:rPr>
          <w:rFonts w:ascii="Times New Roman" w:cs="Times New Roman" w:eastAsia="Times New Roman" w:hAnsi="Times New Roman"/>
          <w:sz w:val="18"/>
          <w:szCs w:val="18"/>
          <w:color w:val="auto"/>
        </w:rPr>
        <w:t>of our development programs or loss of data and have a material adverse effect on our reputation, business, financial condition or results of operations.</w:t>
      </w:r>
    </w:p>
    <w:p>
      <w:pPr>
        <w:spacing w:after="0" w:line="54" w:lineRule="exact"/>
        <w:rPr>
          <w:sz w:val="20"/>
          <w:szCs w:val="20"/>
          <w:color w:val="auto"/>
        </w:rPr>
      </w:pPr>
    </w:p>
    <w:p>
      <w:pPr>
        <w:ind w:left="760" w:right="58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compromise of privacy, security, integrity or confidentiality of sensitive information related to our business or failure to comply with confidentiality and data privacy obligations could have a material adverse effect on our business.</w:t>
      </w:r>
    </w:p>
    <w:p>
      <w:pPr>
        <w:spacing w:after="0" w:line="53" w:lineRule="exact"/>
        <w:rPr>
          <w:rFonts w:ascii="Times New Roman" w:cs="Times New Roman" w:eastAsia="Times New Roman" w:hAnsi="Times New Roman"/>
          <w:sz w:val="18"/>
          <w:szCs w:val="18"/>
          <w:color w:val="auto"/>
        </w:rPr>
      </w:pPr>
    </w:p>
    <w:p>
      <w:pPr>
        <w:ind w:left="760" w:right="54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product candidates receives marketing approval, we may fail to achieve the degree of market acceptance by physicians, patients, third-party payers and others in the medical community necessary for commercial success.</w:t>
      </w:r>
    </w:p>
    <w:p>
      <w:pPr>
        <w:spacing w:after="0" w:line="53"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product candidates, or a future product candidate receives marketing approval and we, or others, later discover that the product is less effective than previously believed or causes undesirable side effects that were not previously identified, our ability to market the product could be compromised.</w:t>
      </w:r>
    </w:p>
    <w:p>
      <w:pPr>
        <w:spacing w:after="0" w:line="67"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competing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coverage and reimbursement status of newly-approved products is uncertain. Failure to obtain or maintain adequate coverage and reimbursement for new or current products could limit our ability to market those products and decrease our ability to generate revenue.</w:t>
      </w:r>
    </w:p>
    <w:p>
      <w:pPr>
        <w:spacing w:after="0" w:line="53"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the manufacture of our product candidates for non-clinical and clinical trials, and for eventual commercialization, increases the risk that we will not have sufficient quantities of our product candidates or products at an acceptable cost and quality, which could delay, prevent or impair our development or commercialization efforts.</w:t>
      </w:r>
    </w:p>
    <w:p>
      <w:pPr>
        <w:spacing w:after="0" w:line="67"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contract research organizations (“CROs”) and other contracted third parties to perform non-clinical and clinical testing and certain other research and development activities. As a result, the outcomes of the activities performed by these organizations will be, to a certain extent, beyond our control.</w:t>
      </w:r>
    </w:p>
    <w:p>
      <w:pPr>
        <w:spacing w:after="0" w:line="67"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intellectual property protection for our technology and products or if the scope of the intellectual property protection obtained is not sufficiently broad, our competitors could develop and commercialize technology and products similar or identical to ours, and our ability to successfully commercialize our technology and products may be impaired.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be volatile, and the market price of our common stock may drop unexpectedly.</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6"/>
        </w:numPr>
        <w:rPr>
          <w:rFonts w:ascii="Times New Roman" w:cs="Times New Roman" w:eastAsia="Times New Roman" w:hAnsi="Times New Roman"/>
          <w:sz w:val="18"/>
          <w:szCs w:val="18"/>
          <w:color w:val="080808"/>
        </w:rPr>
      </w:pPr>
      <w:r>
        <w:rPr>
          <w:rFonts w:ascii="Times New Roman" w:cs="Times New Roman" w:eastAsia="Times New Roman" w:hAnsi="Times New Roman"/>
          <w:sz w:val="18"/>
          <w:szCs w:val="18"/>
          <w:color w:val="080808"/>
        </w:rPr>
        <w:t>If we fail to maintain effective internal controls, we may conclude that our internal control over financial reporting is not effective, which could adversely affect our ability to report our results of operations and financial condition accurately and in a timely manner.</w:t>
      </w:r>
    </w:p>
    <w:p>
      <w:pPr>
        <w:spacing w:after="0" w:line="53" w:lineRule="exact"/>
        <w:rPr>
          <w:rFonts w:ascii="Times New Roman" w:cs="Times New Roman" w:eastAsia="Times New Roman" w:hAnsi="Times New Roman"/>
          <w:sz w:val="18"/>
          <w:szCs w:val="18"/>
          <w:color w:val="080808"/>
        </w:rPr>
      </w:pPr>
    </w:p>
    <w:p>
      <w:pPr>
        <w:ind w:left="760" w:right="1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corporate charter and under Delaware law could make an acquisition of the Company more difficult and may prevent attempts by our stockholders to replace or remove our current management.</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WEBSITE REFERENCES</w:t>
      </w:r>
    </w:p>
    <w:p>
      <w:pPr>
        <w:spacing w:after="0" w:line="227" w:lineRule="exact"/>
        <w:rPr>
          <w:sz w:val="20"/>
          <w:szCs w:val="20"/>
          <w:color w:val="auto"/>
        </w:rPr>
      </w:pPr>
    </w:p>
    <w:p>
      <w:pPr>
        <w:jc w:val="both"/>
        <w:ind w:right="80" w:firstLine="599"/>
        <w:spacing w:after="0" w:line="267" w:lineRule="auto"/>
        <w:rPr>
          <w:sz w:val="20"/>
          <w:szCs w:val="20"/>
          <w:color w:val="auto"/>
        </w:rPr>
      </w:pPr>
      <w:r>
        <w:rPr>
          <w:rFonts w:ascii="Times New Roman" w:cs="Times New Roman" w:eastAsia="Times New Roman" w:hAnsi="Times New Roman"/>
          <w:sz w:val="18"/>
          <w:szCs w:val="18"/>
          <w:color w:val="auto"/>
        </w:rPr>
        <w:t xml:space="preserve">In this Quarterly Report on Form 10-Q, we make references to our website at </w:t>
      </w:r>
      <w:r>
        <w:rPr>
          <w:rFonts w:ascii="Times New Roman" w:cs="Times New Roman" w:eastAsia="Times New Roman" w:hAnsi="Times New Roman"/>
          <w:sz w:val="18"/>
          <w:szCs w:val="18"/>
          <w:i w:val="1"/>
          <w:iCs w:val="1"/>
          <w:color w:val="auto"/>
        </w:rPr>
        <w:t>www.eledon.com</w:t>
      </w:r>
      <w:r>
        <w:rPr>
          <w:rFonts w:ascii="Times New Roman" w:cs="Times New Roman" w:eastAsia="Times New Roman" w:hAnsi="Times New Roman"/>
          <w:sz w:val="18"/>
          <w:szCs w:val="18"/>
          <w:color w:val="auto"/>
        </w:rPr>
        <w:t>. References to our website through this Form 10-Q are provided for convenience only and the content on our website does not constitute a part of, and shall not be deemed incorporated by reference into, this Quarterly Report on Form 10-Q.</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ELEDON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w w:val="98"/>
              </w:rPr>
              <w:t>FINANCIAL INFORMATION</w:t>
            </w:r>
          </w:p>
        </w:tc>
        <w:tc>
          <w:tcPr>
            <w:tcW w:w="7120" w:type="dxa"/>
            <w:vAlign w:val="bottom"/>
            <w:gridSpan w:val="8"/>
          </w:tcPr>
          <w:p>
            <w:pPr>
              <w:spacing w:after="0"/>
              <w:rPr>
                <w:sz w:val="24"/>
                <w:szCs w:val="24"/>
                <w:color w:val="auto"/>
              </w:rPr>
            </w:pPr>
          </w:p>
        </w:tc>
        <w:tc>
          <w:tcPr>
            <w:tcW w:w="820" w:type="dxa"/>
            <w:vAlign w:val="bottom"/>
          </w:tcPr>
          <w:p>
            <w:pPr>
              <w:spacing w:after="0"/>
              <w:rPr>
                <w:sz w:val="24"/>
                <w:szCs w:val="24"/>
                <w:color w:val="auto"/>
              </w:rPr>
            </w:pPr>
          </w:p>
        </w:tc>
      </w:tr>
      <w:tr>
        <w:trPr>
          <w:trHeight w:val="31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Financial Statements - Unaudited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95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Condensed Consolidated Balance Sheets as of March 31, 2026 and December 31,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9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95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 for the Three Months Ended March 31, 2026 and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96"/>
        </w:trPr>
        <w:tc>
          <w:tcPr>
            <w:tcW w:w="9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4"/>
              </w:rPr>
              <w:t>2025</w:t>
            </w: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91"/>
        </w:trPr>
        <w:tc>
          <w:tcPr>
            <w:tcW w:w="900" w:type="dxa"/>
            <w:vAlign w:val="bottom"/>
          </w:tcPr>
          <w:p>
            <w:pPr>
              <w:spacing w:after="0"/>
              <w:rPr>
                <w:sz w:val="24"/>
                <w:szCs w:val="24"/>
                <w:color w:val="auto"/>
              </w:rPr>
            </w:pPr>
          </w:p>
        </w:tc>
        <w:tc>
          <w:tcPr>
            <w:tcW w:w="95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Condensed Consolidated Statements of Convertible Preferred Stock and Stockholders’ Equity for the Three Months Ended March</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96"/>
        </w:trPr>
        <w:tc>
          <w:tcPr>
            <w:tcW w:w="9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0" w:type="dxa"/>
            <w:vAlign w:val="bottom"/>
            <w:tcBorders>
              <w:top w:val="single" w:sz="8" w:color="auto"/>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rPr>
              <w:t>31, 2026 and 2025</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95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 for the Three Months Ended March 31, 2026 and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60" w:type="dxa"/>
            <w:vAlign w:val="bottom"/>
            <w:gridSpan w:val="3"/>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20" w:type="dxa"/>
            <w:vAlign w:val="bottom"/>
            <w:tcBorders>
              <w:left w:val="single" w:sz="8" w:color="auto"/>
            </w:tcBorders>
            <w:gridSpan w:val="2"/>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95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6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20" w:type="dxa"/>
            <w:vAlign w:val="bottom"/>
            <w:gridSpan w:val="4"/>
            <w:shd w:val="clear" w:color="auto" w:fill="000000"/>
          </w:tcPr>
          <w:p>
            <w:pPr>
              <w:spacing w:after="0" w:line="20" w:lineRule="exact"/>
              <w:rPr>
                <w:sz w:val="1"/>
                <w:szCs w:val="1"/>
                <w:color w:val="auto"/>
              </w:rPr>
            </w:pPr>
          </w:p>
        </w:tc>
        <w:tc>
          <w:tcPr>
            <w:tcW w:w="2120" w:type="dxa"/>
            <w:vAlign w:val="bottom"/>
            <w:tcBorders>
              <w:left w:val="single" w:sz="8" w:color="auto"/>
            </w:tcBorders>
            <w:gridSpan w:val="2"/>
            <w:shd w:val="clear" w:color="auto" w:fill="000000"/>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20" w:type="dxa"/>
            <w:vAlign w:val="bottom"/>
            <w:gridSpan w:val="4"/>
            <w:shd w:val="clear" w:color="auto" w:fill="000000"/>
          </w:tcPr>
          <w:p>
            <w:pPr>
              <w:spacing w:after="0" w:line="20" w:lineRule="exact"/>
              <w:rPr>
                <w:sz w:val="1"/>
                <w:szCs w:val="1"/>
                <w:color w:val="auto"/>
              </w:rPr>
            </w:pPr>
          </w:p>
        </w:tc>
        <w:tc>
          <w:tcPr>
            <w:tcW w:w="5200" w:type="dxa"/>
            <w:vAlign w:val="bottom"/>
            <w:tcBorders>
              <w:left w:val="single" w:sz="8" w:color="auto"/>
            </w:tcBorders>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Controls and Procedures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2"/>
            <w:shd w:val="clear" w:color="auto" w:fill="000000"/>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20" w:type="dxa"/>
            <w:vAlign w:val="bottom"/>
          </w:tcPr>
          <w:p>
            <w:pPr>
              <w:spacing w:after="0"/>
              <w:rPr>
                <w:sz w:val="24"/>
                <w:szCs w:val="24"/>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00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7520" w:type="dxa"/>
            <w:vAlign w:val="bottom"/>
            <w:gridSpan w:val="11"/>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20" w:type="dxa"/>
            <w:vAlign w:val="bottom"/>
            <w:tcBorders>
              <w:left w:val="single" w:sz="8" w:color="auto"/>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5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20" w:type="dxa"/>
            <w:vAlign w:val="bottom"/>
            <w:tcBorders>
              <w:left w:val="single" w:sz="8" w:color="auto"/>
            </w:tcBorders>
            <w:gridSpan w:val="4"/>
            <w:shd w:val="clear" w:color="auto" w:fill="000000"/>
          </w:tcPr>
          <w:p>
            <w:pPr>
              <w:spacing w:after="0" w:line="20" w:lineRule="exact"/>
              <w:rPr>
                <w:sz w:val="1"/>
                <w:szCs w:val="1"/>
                <w:color w:val="auto"/>
              </w:rPr>
            </w:pPr>
          </w:p>
        </w:tc>
        <w:tc>
          <w:tcPr>
            <w:tcW w:w="2020" w:type="dxa"/>
            <w:vAlign w:val="bottom"/>
            <w:gridSpan w:val="4"/>
            <w:shd w:val="clear" w:color="auto" w:fill="000000"/>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20" w:type="dxa"/>
            <w:vAlign w:val="bottom"/>
            <w:tcBorders>
              <w:left w:val="single" w:sz="8" w:color="auto"/>
            </w:tcBorders>
            <w:gridSpan w:val="4"/>
            <w:shd w:val="clear" w:color="auto" w:fill="000000"/>
          </w:tcPr>
          <w:p>
            <w:pPr>
              <w:spacing w:after="0" w:line="20" w:lineRule="exact"/>
              <w:rPr>
                <w:sz w:val="1"/>
                <w:szCs w:val="1"/>
                <w:color w:val="auto"/>
              </w:rPr>
            </w:pPr>
          </w:p>
        </w:tc>
        <w:tc>
          <w:tcPr>
            <w:tcW w:w="722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Mine Safety Disclosures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gridSpan w:val="2"/>
            <w:shd w:val="clear" w:color="auto" w:fill="000000"/>
          </w:tcPr>
          <w:p>
            <w:pPr>
              <w:spacing w:after="0" w:line="20" w:lineRule="exact"/>
              <w:rPr>
                <w:sz w:val="1"/>
                <w:szCs w:val="1"/>
                <w:color w:val="auto"/>
              </w:rPr>
            </w:pPr>
          </w:p>
        </w:tc>
        <w:tc>
          <w:tcPr>
            <w:tcW w:w="778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5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8240" w:type="dxa"/>
            <w:vAlign w:val="bottom"/>
            <w:gridSpan w:val="1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5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Exhibits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900" w:type="dxa"/>
            <w:vAlign w:val="bottom"/>
            <w:tcBorders>
              <w:right w:val="single" w:sz="8" w:color="0000EE"/>
            </w:tcBorders>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80" w:type="dxa"/>
            <w:vAlign w:val="bottom"/>
            <w:gridSpan w:val="1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900" w:type="dxa"/>
            <w:vAlign w:val="bottom"/>
          </w:tcPr>
          <w:p>
            <w:pPr>
              <w:spacing w:after="0"/>
              <w:rPr>
                <w:sz w:val="24"/>
                <w:szCs w:val="24"/>
                <w:color w:val="auto"/>
              </w:rPr>
            </w:pPr>
          </w:p>
        </w:tc>
        <w:tc>
          <w:tcPr>
            <w:tcW w:w="95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Signatures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561"/>
        </w:trPr>
        <w:tc>
          <w:tcPr>
            <w:tcW w:w="900" w:type="dxa"/>
            <w:vAlign w:val="bottom"/>
          </w:tcPr>
          <w:p>
            <w:pPr>
              <w:spacing w:after="0"/>
              <w:rPr>
                <w:sz w:val="24"/>
                <w:szCs w:val="24"/>
                <w:color w:val="auto"/>
              </w:rPr>
            </w:pPr>
          </w:p>
        </w:tc>
        <w:tc>
          <w:tcPr>
            <w:tcW w:w="740" w:type="dxa"/>
            <w:vAlign w:val="bottom"/>
            <w:tcBorders>
              <w:top w:val="single" w:sz="8" w:color="auto"/>
            </w:tcBorders>
            <w:gridSpan w:val="4"/>
          </w:tcPr>
          <w:p>
            <w:pPr>
              <w:spacing w:after="0"/>
              <w:rPr>
                <w:sz w:val="24"/>
                <w:szCs w:val="24"/>
                <w:color w:val="auto"/>
              </w:rPr>
            </w:pPr>
          </w:p>
        </w:tc>
        <w:tc>
          <w:tcPr>
            <w:tcW w:w="5560" w:type="dxa"/>
            <w:vAlign w:val="bottom"/>
            <w:gridSpan w:val="11"/>
          </w:tcPr>
          <w:p>
            <w:pPr>
              <w:jc w:val="right"/>
              <w:ind w:right="15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763"/>
        </w:trPr>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 Unaudited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ELEDON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7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6"/>
        </w:trPr>
        <w:tc>
          <w:tcPr>
            <w:tcW w:w="7920" w:type="dxa"/>
            <w:vAlign w:val="bottom"/>
            <w:shd w:val="clear" w:color="auto" w:fill="CFF0FC"/>
          </w:tcPr>
          <w:p>
            <w:pPr>
              <w:ind w:left="35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6,152</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22,808</w:t>
            </w: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104,937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110,528</w:t>
            </w:r>
          </w:p>
        </w:tc>
      </w:tr>
      <w:tr>
        <w:trPr>
          <w:trHeight w:val="216"/>
        </w:trPr>
        <w:tc>
          <w:tcPr>
            <w:tcW w:w="79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2,485</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2,352</w:t>
            </w:r>
          </w:p>
        </w:tc>
      </w:tr>
      <w:tr>
        <w:trPr>
          <w:trHeight w:val="20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113,574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135,688</w:t>
            </w: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asset, net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530</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32,386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32,386</w:t>
            </w:r>
          </w:p>
        </w:tc>
      </w:tr>
      <w:tr>
        <w:trPr>
          <w:trHeight w:val="216"/>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r>
      <w:tr>
        <w:trPr>
          <w:trHeight w:val="20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146,667</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169,009</w:t>
            </w:r>
          </w:p>
        </w:tc>
      </w:tr>
      <w:tr>
        <w:trPr>
          <w:trHeight w:val="20"/>
        </w:trPr>
        <w:tc>
          <w:tcPr>
            <w:tcW w:w="7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920" w:type="dxa"/>
            <w:vAlign w:val="bottom"/>
            <w:shd w:val="clear" w:color="auto" w:fill="CFF0FC"/>
          </w:tcPr>
          <w:p>
            <w:pPr>
              <w:ind w:left="2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6,585</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3,627</w:t>
            </w:r>
          </w:p>
        </w:tc>
      </w:tr>
      <w:tr>
        <w:trPr>
          <w:trHeight w:val="216"/>
        </w:trPr>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79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6,504</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14,359</w:t>
            </w: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13,458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18,344</w:t>
            </w: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2,187</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2,187</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30,378</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11,416</w:t>
            </w:r>
          </w:p>
        </w:tc>
      </w:tr>
      <w:tr>
        <w:trPr>
          <w:trHeight w:val="20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46,209</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32,230</w:t>
            </w:r>
          </w:p>
        </w:tc>
      </w:tr>
      <w:tr>
        <w:trPr>
          <w:trHeight w:val="210"/>
        </w:trPr>
        <w:tc>
          <w:tcPr>
            <w:tcW w:w="7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 5,000,000 shares authorized at March 31, 2026 and December 31, 2025:</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8"/>
        </w:trPr>
        <w:tc>
          <w:tcPr>
            <w:tcW w:w="792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Series X non-voting convertible preferred stock, $0.001 par value, 10,000 shares designated; 4,422 shares</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234"/>
        </w:trPr>
        <w:tc>
          <w:tcPr>
            <w:tcW w:w="7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2,151</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2,151</w:t>
            </w:r>
          </w:p>
        </w:tc>
      </w:tr>
      <w:tr>
        <w:trPr>
          <w:trHeight w:val="198"/>
        </w:trPr>
        <w:tc>
          <w:tcPr>
            <w:tcW w:w="7920" w:type="dxa"/>
            <w:vAlign w:val="bottom"/>
          </w:tcPr>
          <w:p>
            <w:pPr>
              <w:ind w:left="80"/>
              <w:spacing w:after="0" w:line="198" w:lineRule="exact"/>
              <w:rPr>
                <w:sz w:val="20"/>
                <w:szCs w:val="20"/>
                <w:color w:val="auto"/>
              </w:rPr>
            </w:pPr>
            <w:r>
              <w:rPr>
                <w:rFonts w:ascii="Times New Roman" w:cs="Times New Roman" w:eastAsia="Times New Roman" w:hAnsi="Times New Roman"/>
                <w:sz w:val="17"/>
                <w:szCs w:val="17"/>
                <w:color w:val="auto"/>
              </w:rPr>
              <w:t>Series X</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non-voting convertible preferred stock, $0.001 par value, 515,000 shares designated;</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4"/>
        </w:trPr>
        <w:tc>
          <w:tcPr>
            <w:tcW w:w="7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110,086 shares issued and outstanding at March 31, 2026 and December 31, 2025</w:t>
            </w:r>
          </w:p>
        </w:tc>
        <w:tc>
          <w:tcPr>
            <w:tcW w:w="26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53,543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53,543</w:t>
            </w:r>
          </w:p>
        </w:tc>
      </w:tr>
      <w:tr>
        <w:trPr>
          <w:trHeight w:val="216"/>
        </w:trPr>
        <w:tc>
          <w:tcPr>
            <w:tcW w:w="7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8"/>
        </w:trPr>
        <w:tc>
          <w:tcPr>
            <w:tcW w:w="792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$0.001 par value, 300,000,000 shares authorized at March 31, 2026 and December 31,</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216"/>
        </w:trPr>
        <w:tc>
          <w:tcPr>
            <w:tcW w:w="7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2025; 75,851,722 and 75,430,033 shares issued and outstanding at March 31, 2026 and December 31,</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34"/>
        </w:trPr>
        <w:tc>
          <w:tcPr>
            <w:tcW w:w="7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2025, respectively</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484,988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482,189</w:t>
            </w:r>
          </w:p>
        </w:tc>
      </w:tr>
      <w:tr>
        <w:trPr>
          <w:trHeight w:val="216"/>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(440,228)</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(401,203)</w:t>
            </w:r>
          </w:p>
        </w:tc>
      </w:tr>
      <w:tr>
        <w:trPr>
          <w:trHeight w:val="209"/>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44,764</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81,085</w:t>
            </w:r>
          </w:p>
        </w:tc>
      </w:tr>
      <w:tr>
        <w:trPr>
          <w:trHeight w:val="20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146,667</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169,009</w:t>
            </w:r>
          </w:p>
        </w:tc>
      </w:tr>
      <w:tr>
        <w:trPr>
          <w:trHeight w:val="20"/>
        </w:trPr>
        <w:tc>
          <w:tcPr>
            <w:tcW w:w="7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-4636770</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-4079875</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-3222625</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-2665095</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111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ELEDON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6"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-3175</wp:posOffset>
            </wp:positionV>
            <wp:extent cx="25628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17,197</w:t>
            </w:r>
          </w:p>
        </w:tc>
        <w:tc>
          <w:tcPr>
            <w:tcW w:w="6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13,531</w:t>
            </w:r>
          </w:p>
        </w:tc>
        <w:tc>
          <w:tcPr>
            <w:tcW w:w="0" w:type="dxa"/>
            <w:vAlign w:val="bottom"/>
          </w:tcPr>
          <w:p>
            <w:pPr>
              <w:spacing w:after="0"/>
              <w:rPr>
                <w:sz w:val="1"/>
                <w:szCs w:val="1"/>
                <w:color w:val="auto"/>
              </w:rPr>
            </w:pPr>
          </w:p>
        </w:tc>
      </w:tr>
      <w:tr>
        <w:trPr>
          <w:trHeight w:val="216"/>
        </w:trPr>
        <w:tc>
          <w:tcPr>
            <w:tcW w:w="7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3,984</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4,433</w:t>
            </w:r>
          </w:p>
        </w:tc>
        <w:tc>
          <w:tcPr>
            <w:tcW w:w="0" w:type="dxa"/>
            <w:vAlign w:val="bottom"/>
          </w:tcPr>
          <w:p>
            <w:pPr>
              <w:spacing w:after="0"/>
              <w:rPr>
                <w:sz w:val="1"/>
                <w:szCs w:val="1"/>
                <w:color w:val="auto"/>
              </w:rPr>
            </w:pPr>
          </w:p>
        </w:tc>
      </w:tr>
      <w:tr>
        <w:trPr>
          <w:trHeight w:val="20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21,181</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17,964</w:t>
            </w:r>
          </w:p>
        </w:tc>
        <w:tc>
          <w:tcPr>
            <w:tcW w:w="0" w:type="dxa"/>
            <w:vAlign w:val="bottom"/>
          </w:tcPr>
          <w:p>
            <w:pPr>
              <w:spacing w:after="0"/>
              <w:rPr>
                <w:sz w:val="1"/>
                <w:szCs w:val="1"/>
                <w:color w:val="auto"/>
              </w:rPr>
            </w:pPr>
          </w:p>
        </w:tc>
      </w:tr>
      <w:tr>
        <w:trPr>
          <w:trHeight w:val="20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(21,181)</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(17,964)</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16"/>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(18,962)</w:t>
            </w:r>
          </w:p>
        </w:tc>
        <w:tc>
          <w:tcPr>
            <w:tcW w:w="22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10,060</w:t>
            </w:r>
          </w:p>
        </w:tc>
        <w:tc>
          <w:tcPr>
            <w:tcW w:w="0" w:type="dxa"/>
            <w:vAlign w:val="bottom"/>
          </w:tcPr>
          <w:p>
            <w:pPr>
              <w:spacing w:after="0"/>
              <w:rPr>
                <w:sz w:val="1"/>
                <w:szCs w:val="1"/>
                <w:color w:val="auto"/>
              </w:rPr>
            </w:pPr>
          </w:p>
        </w:tc>
      </w:tr>
      <w:tr>
        <w:trPr>
          <w:trHeight w:val="20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(39,025)</w:t>
            </w:r>
          </w:p>
        </w:tc>
        <w:tc>
          <w:tcPr>
            <w:tcW w:w="220" w:type="dxa"/>
            <w:vAlign w:val="bottom"/>
          </w:tcPr>
          <w:p>
            <w:pPr>
              <w:spacing w:after="0"/>
              <w:rPr>
                <w:sz w:val="18"/>
                <w:szCs w:val="18"/>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loss on available-for-sale securities, net</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(39,121)</w:t>
            </w:r>
          </w:p>
        </w:tc>
        <w:tc>
          <w:tcPr>
            <w:tcW w:w="640" w:type="dxa"/>
            <w:vAlign w:val="bottom"/>
            <w:gridSpan w:val="2"/>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0" w:type="dxa"/>
            <w:vAlign w:val="bottom"/>
          </w:tcPr>
          <w:p>
            <w:pPr>
              <w:spacing w:after="0"/>
              <w:rPr>
                <w:sz w:val="1"/>
                <w:szCs w:val="1"/>
                <w:color w:val="auto"/>
              </w:rPr>
            </w:pPr>
          </w:p>
        </w:tc>
      </w:tr>
      <w:tr>
        <w:trPr>
          <w:trHeight w:val="20"/>
        </w:trPr>
        <w:tc>
          <w:tcPr>
            <w:tcW w:w="70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earnings per share of common stock</w:t>
            </w:r>
          </w:p>
        </w:tc>
        <w:tc>
          <w:tcPr>
            <w:tcW w:w="160" w:type="dxa"/>
            <w:vAlign w:val="bottom"/>
          </w:tcPr>
          <w:p>
            <w:pPr>
              <w:spacing w:after="0"/>
              <w:rPr>
                <w:sz w:val="17"/>
                <w:szCs w:val="17"/>
                <w:color w:val="auto"/>
              </w:rPr>
            </w:pPr>
          </w:p>
        </w:tc>
        <w:tc>
          <w:tcPr>
            <w:tcW w:w="42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640" w:type="dxa"/>
            <w:vAlign w:val="bottom"/>
            <w:gridSpan w:val="2"/>
          </w:tcPr>
          <w:p>
            <w:pPr>
              <w:jc w:val="right"/>
              <w:ind w:right="25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6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112,424,211</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77,126,763</w:t>
            </w:r>
          </w:p>
        </w:tc>
        <w:tc>
          <w:tcPr>
            <w:tcW w:w="0" w:type="dxa"/>
            <w:vAlign w:val="bottom"/>
          </w:tcPr>
          <w:p>
            <w:pPr>
              <w:spacing w:after="0"/>
              <w:rPr>
                <w:sz w:val="1"/>
                <w:szCs w:val="1"/>
                <w:color w:val="auto"/>
              </w:rPr>
            </w:pPr>
          </w:p>
        </w:tc>
      </w:tr>
      <w:tr>
        <w:trPr>
          <w:trHeight w:val="191"/>
        </w:trPr>
        <w:tc>
          <w:tcPr>
            <w:tcW w:w="704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Basic and diluted earnings per share of Series X and Series X</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non-voting convertible preferred</w:t>
            </w:r>
          </w:p>
        </w:tc>
        <w:tc>
          <w:tcPr>
            <w:tcW w:w="58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640" w:type="dxa"/>
            <w:vAlign w:val="bottom"/>
            <w:gridSpan w:val="2"/>
            <w:vMerge w:val="restart"/>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194"/>
        </w:trPr>
        <w:tc>
          <w:tcPr>
            <w:tcW w:w="7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stock</w:t>
            </w:r>
          </w:p>
        </w:tc>
        <w:tc>
          <w:tcPr>
            <w:tcW w:w="58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0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5"/>
                <w:szCs w:val="15"/>
                <w:color w:val="auto"/>
              </w:rPr>
              <w:t>Weighted-average shares outstanding of Series X and Series X</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 non-voting convertible</w:t>
            </w: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basic and diluted</w:t>
            </w: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114,508</w:t>
            </w: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114,508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-2039620</wp:posOffset>
            </wp:positionV>
            <wp:extent cx="137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-882650</wp:posOffset>
            </wp:positionV>
            <wp:extent cx="137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-864870</wp:posOffset>
            </wp:positionV>
            <wp:extent cx="137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-556895</wp:posOffset>
            </wp:positionV>
            <wp:extent cx="137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ELEDON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5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4"/>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Convertible Preferred Stock</w:t>
            </w: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700" w:type="dxa"/>
            <w:vAlign w:val="bottom"/>
            <w:gridSpan w:val="4"/>
            <w:vMerge w:val="restart"/>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w w:val="98"/>
              </w:rPr>
              <w:t>Series X Non-Voting Convertible</w:t>
            </w:r>
          </w:p>
        </w:tc>
        <w:tc>
          <w:tcPr>
            <w:tcW w:w="120" w:type="dxa"/>
            <w:vAlign w:val="bottom"/>
          </w:tcPr>
          <w:p>
            <w:pPr>
              <w:spacing w:after="0"/>
              <w:rPr>
                <w:sz w:val="10"/>
                <w:szCs w:val="10"/>
                <w:color w:val="auto"/>
              </w:rPr>
            </w:pPr>
          </w:p>
        </w:tc>
        <w:tc>
          <w:tcPr>
            <w:tcW w:w="1680" w:type="dxa"/>
            <w:vAlign w:val="bottom"/>
            <w:tcBorders>
              <w:right w:val="single" w:sz="8" w:color="auto"/>
            </w:tcBorders>
            <w:gridSpan w:val="4"/>
            <w:vMerge w:val="restart"/>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w w:val="96"/>
              </w:rPr>
              <w:t>Series X</w:t>
            </w:r>
            <w:r>
              <w:rPr>
                <w:rFonts w:ascii="Times New Roman" w:cs="Times New Roman" w:eastAsia="Times New Roman" w:hAnsi="Times New Roman"/>
                <w:sz w:val="14"/>
                <w:szCs w:val="14"/>
                <w:b w:val="1"/>
                <w:bCs w:val="1"/>
                <w:color w:val="auto"/>
                <w:w w:val="96"/>
                <w:vertAlign w:val="superscript"/>
              </w:rPr>
              <w:t>1</w:t>
            </w:r>
            <w:r>
              <w:rPr>
                <w:rFonts w:ascii="Times New Roman" w:cs="Times New Roman" w:eastAsia="Times New Roman" w:hAnsi="Times New Roman"/>
                <w:sz w:val="11"/>
                <w:szCs w:val="11"/>
                <w:b w:val="1"/>
                <w:bCs w:val="1"/>
                <w:color w:val="auto"/>
                <w:w w:val="96"/>
              </w:rPr>
              <w:t xml:space="preserve"> Non-Voting</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ind w:right="178"/>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500" w:type="dxa"/>
            <w:vAlign w:val="bottom"/>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Borders>
              <w:right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76"/>
              <w:spacing w:after="0" w:line="111"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9"/>
                <w:szCs w:val="9"/>
                <w:color w:val="auto"/>
              </w:rPr>
            </w:pPr>
          </w:p>
        </w:tc>
        <w:tc>
          <w:tcPr>
            <w:tcW w:w="760" w:type="dxa"/>
            <w:vAlign w:val="bottom"/>
            <w:gridSpan w:val="2"/>
          </w:tcPr>
          <w:p>
            <w:pPr>
              <w:ind w:left="20"/>
              <w:spacing w:after="0" w:line="111" w:lineRule="exact"/>
              <w:rPr>
                <w:sz w:val="20"/>
                <w:szCs w:val="20"/>
                <w:color w:val="auto"/>
              </w:rPr>
            </w:pPr>
            <w:r>
              <w:rPr>
                <w:rFonts w:ascii="Times New Roman" w:cs="Times New Roman" w:eastAsia="Times New Roman" w:hAnsi="Times New Roman"/>
                <w:sz w:val="11"/>
                <w:szCs w:val="11"/>
                <w:b w:val="1"/>
                <w:bCs w:val="1"/>
                <w:color w:val="auto"/>
              </w:rPr>
              <w:t>Comprehensi</w:t>
            </w: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center"/>
              <w:ind w:right="192"/>
              <w:spacing w:after="0" w:line="111"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00" w:type="dxa"/>
            <w:vAlign w:val="bottom"/>
            <w:tcBorders>
              <w:bottom w:val="single" w:sz="8" w:color="auto"/>
            </w:tcBorders>
            <w:gridSpan w:val="4"/>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20" w:type="dxa"/>
            <w:vAlign w:val="bottom"/>
          </w:tcPr>
          <w:p>
            <w:pPr>
              <w:spacing w:after="0"/>
              <w:rPr>
                <w:sz w:val="11"/>
                <w:szCs w:val="11"/>
                <w:color w:val="auto"/>
              </w:rPr>
            </w:pPr>
          </w:p>
        </w:tc>
        <w:tc>
          <w:tcPr>
            <w:tcW w:w="1680" w:type="dxa"/>
            <w:vAlign w:val="bottom"/>
            <w:tcBorders>
              <w:bottom w:val="single" w:sz="8" w:color="auto"/>
              <w:right w:val="single" w:sz="8" w:color="auto"/>
            </w:tcBorders>
            <w:gridSpan w:val="4"/>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w w:val="99"/>
              </w:rPr>
              <w:t>Convertible Preferred Stock</w:t>
            </w:r>
          </w:p>
        </w:tc>
        <w:tc>
          <w:tcPr>
            <w:tcW w:w="100" w:type="dxa"/>
            <w:vAlign w:val="bottom"/>
          </w:tcPr>
          <w:p>
            <w:pPr>
              <w:spacing w:after="0"/>
              <w:rPr>
                <w:sz w:val="11"/>
                <w:szCs w:val="11"/>
                <w:color w:val="auto"/>
              </w:rPr>
            </w:pPr>
          </w:p>
        </w:tc>
        <w:tc>
          <w:tcPr>
            <w:tcW w:w="166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w w:val="95"/>
              </w:rPr>
              <w:t>ve</w:t>
            </w:r>
          </w:p>
        </w:tc>
        <w:tc>
          <w:tcPr>
            <w:tcW w:w="120" w:type="dxa"/>
            <w:vAlign w:val="bottom"/>
          </w:tcPr>
          <w:p>
            <w:pPr>
              <w:spacing w:after="0"/>
              <w:rPr>
                <w:sz w:val="11"/>
                <w:szCs w:val="11"/>
                <w:color w:val="auto"/>
              </w:rPr>
            </w:pPr>
          </w:p>
        </w:tc>
        <w:tc>
          <w:tcPr>
            <w:tcW w:w="74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99"/>
        </w:trPr>
        <w:tc>
          <w:tcPr>
            <w:tcW w:w="2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center"/>
              <w:ind w:right="198"/>
              <w:spacing w:after="0" w:line="100"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500" w:type="dxa"/>
            <w:vAlign w:val="bottom"/>
          </w:tcPr>
          <w:p>
            <w:pPr>
              <w:spacing w:after="0"/>
              <w:rPr>
                <w:sz w:val="11"/>
                <w:szCs w:val="11"/>
                <w:color w:val="auto"/>
              </w:rPr>
            </w:pPr>
          </w:p>
        </w:tc>
        <w:tc>
          <w:tcPr>
            <w:tcW w:w="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1"/>
                <w:szCs w:val="11"/>
                <w:color w:val="auto"/>
              </w:rPr>
            </w:pPr>
          </w:p>
        </w:tc>
        <w:tc>
          <w:tcPr>
            <w:tcW w:w="8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00" w:type="dxa"/>
            <w:vAlign w:val="bottom"/>
          </w:tcPr>
          <w:p>
            <w:pPr>
              <w:spacing w:after="0"/>
              <w:rPr>
                <w:sz w:val="11"/>
                <w:szCs w:val="11"/>
                <w:color w:val="auto"/>
              </w:rPr>
            </w:pPr>
          </w:p>
        </w:tc>
        <w:tc>
          <w:tcPr>
            <w:tcW w:w="8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120" w:type="dxa"/>
            <w:vAlign w:val="bottom"/>
          </w:tcPr>
          <w:p>
            <w:pPr>
              <w:spacing w:after="0"/>
              <w:rPr>
                <w:sz w:val="11"/>
                <w:szCs w:val="11"/>
                <w:color w:val="auto"/>
              </w:rPr>
            </w:pPr>
          </w:p>
        </w:tc>
        <w:tc>
          <w:tcPr>
            <w:tcW w:w="7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115"/>
        </w:trPr>
        <w:tc>
          <w:tcPr>
            <w:tcW w:w="2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340" w:type="dxa"/>
            <w:vAlign w:val="bottom"/>
            <w:gridSpan w:val="2"/>
            <w:shd w:val="clear" w:color="auto" w:fill="CFF0FC"/>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ind w:right="54"/>
              <w:spacing w:after="0"/>
              <w:rPr>
                <w:sz w:val="20"/>
                <w:szCs w:val="20"/>
                <w:color w:val="auto"/>
              </w:rPr>
            </w:pPr>
            <w:r>
              <w:rPr>
                <w:rFonts w:ascii="Times New Roman" w:cs="Times New Roman" w:eastAsia="Times New Roman" w:hAnsi="Times New Roman"/>
                <w:sz w:val="14"/>
                <w:szCs w:val="14"/>
                <w:color w:val="auto"/>
              </w:rPr>
              <w:t>2,151</w:t>
            </w:r>
          </w:p>
        </w:tc>
        <w:tc>
          <w:tcPr>
            <w:tcW w:w="960" w:type="dxa"/>
            <w:vAlign w:val="bottom"/>
            <w:gridSpan w:val="2"/>
            <w:vMerge w:val="restart"/>
            <w:shd w:val="clear" w:color="auto" w:fill="CFF0FC"/>
          </w:tcPr>
          <w:p>
            <w:pPr>
              <w:jc w:val="right"/>
              <w:ind w:right="63"/>
              <w:spacing w:after="0"/>
              <w:rPr>
                <w:sz w:val="20"/>
                <w:szCs w:val="20"/>
                <w:color w:val="auto"/>
              </w:rPr>
            </w:pPr>
            <w:r>
              <w:rPr>
                <w:rFonts w:ascii="Times New Roman" w:cs="Times New Roman" w:eastAsia="Times New Roman" w:hAnsi="Times New Roman"/>
                <w:sz w:val="14"/>
                <w:szCs w:val="14"/>
                <w:color w:val="auto"/>
              </w:rPr>
              <w:t>110,086</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shd w:val="clear" w:color="auto" w:fill="CFF0FC"/>
          </w:tcPr>
          <w:p>
            <w:pPr>
              <w:jc w:val="right"/>
              <w:ind w:right="74"/>
              <w:spacing w:after="0"/>
              <w:rPr>
                <w:sz w:val="20"/>
                <w:szCs w:val="20"/>
                <w:color w:val="auto"/>
              </w:rPr>
            </w:pPr>
            <w:r>
              <w:rPr>
                <w:rFonts w:ascii="Times New Roman" w:cs="Times New Roman" w:eastAsia="Times New Roman" w:hAnsi="Times New Roman"/>
                <w:sz w:val="14"/>
                <w:szCs w:val="14"/>
                <w:color w:val="auto"/>
              </w:rPr>
              <w:t>53,543</w:t>
            </w:r>
          </w:p>
        </w:tc>
        <w:tc>
          <w:tcPr>
            <w:tcW w:w="900" w:type="dxa"/>
            <w:vAlign w:val="bottom"/>
            <w:gridSpan w:val="2"/>
            <w:shd w:val="clear" w:color="auto" w:fill="CFF0FC"/>
          </w:tcPr>
          <w:p>
            <w:pPr>
              <w:jc w:val="right"/>
              <w:ind w:right="62"/>
              <w:spacing w:after="0" w:line="126" w:lineRule="exact"/>
              <w:rPr>
                <w:sz w:val="20"/>
                <w:szCs w:val="20"/>
                <w:color w:val="auto"/>
              </w:rPr>
            </w:pPr>
            <w:r>
              <w:rPr>
                <w:rFonts w:ascii="Times New Roman" w:cs="Times New Roman" w:eastAsia="Times New Roman" w:hAnsi="Times New Roman"/>
                <w:sz w:val="14"/>
                <w:szCs w:val="14"/>
                <w:color w:val="auto"/>
              </w:rPr>
              <w:t>75,430,0</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rPr>
              <w:t>75</w:t>
            </w:r>
          </w:p>
        </w:tc>
        <w:tc>
          <w:tcPr>
            <w:tcW w:w="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ind w:right="56"/>
              <w:spacing w:after="0"/>
              <w:rPr>
                <w:sz w:val="20"/>
                <w:szCs w:val="20"/>
                <w:color w:val="auto"/>
              </w:rPr>
            </w:pPr>
            <w:r>
              <w:rPr>
                <w:rFonts w:ascii="Times New Roman" w:cs="Times New Roman" w:eastAsia="Times New Roman" w:hAnsi="Times New Roman"/>
                <w:sz w:val="14"/>
                <w:szCs w:val="14"/>
                <w:color w:val="auto"/>
              </w:rPr>
              <w:t>482,189</w:t>
            </w:r>
          </w:p>
        </w:tc>
        <w:tc>
          <w:tcPr>
            <w:tcW w:w="22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ind w:right="58"/>
              <w:spacing w:after="0"/>
              <w:rPr>
                <w:sz w:val="20"/>
                <w:szCs w:val="20"/>
                <w:color w:val="auto"/>
              </w:rPr>
            </w:pPr>
            <w:r>
              <w:rPr>
                <w:rFonts w:ascii="Times New Roman" w:cs="Times New Roman" w:eastAsia="Times New Roman" w:hAnsi="Times New Roman"/>
                <w:sz w:val="14"/>
                <w:szCs w:val="14"/>
                <w:color w:val="auto"/>
              </w:rPr>
              <w:t>24</w:t>
            </w: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(401,203)</w:t>
            </w:r>
          </w:p>
        </w:tc>
        <w:tc>
          <w:tcPr>
            <w:tcW w:w="24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81,085</w:t>
            </w:r>
          </w:p>
        </w:tc>
        <w:tc>
          <w:tcPr>
            <w:tcW w:w="0" w:type="dxa"/>
            <w:vAlign w:val="bottom"/>
          </w:tcPr>
          <w:p>
            <w:pPr>
              <w:spacing w:after="0"/>
              <w:rPr>
                <w:sz w:val="1"/>
                <w:szCs w:val="1"/>
                <w:color w:val="auto"/>
              </w:rPr>
            </w:pPr>
          </w:p>
        </w:tc>
      </w:tr>
      <w:tr>
        <w:trPr>
          <w:trHeight w:val="171"/>
        </w:trPr>
        <w:tc>
          <w:tcPr>
            <w:tcW w:w="3340" w:type="dxa"/>
            <w:vAlign w:val="bottom"/>
            <w:gridSpan w:val="2"/>
            <w:shd w:val="clear" w:color="auto" w:fill="CFF0FC"/>
          </w:tcPr>
          <w:p>
            <w:pPr>
              <w:ind w:left="2880"/>
              <w:spacing w:after="0"/>
              <w:rPr>
                <w:sz w:val="20"/>
                <w:szCs w:val="20"/>
                <w:color w:val="auto"/>
              </w:rPr>
            </w:pPr>
            <w:r>
              <w:rPr>
                <w:rFonts w:ascii="Times New Roman" w:cs="Times New Roman" w:eastAsia="Times New Roman" w:hAnsi="Times New Roman"/>
                <w:sz w:val="14"/>
                <w:szCs w:val="14"/>
                <w:color w:val="auto"/>
              </w:rPr>
              <w:t>4,422</w:t>
            </w:r>
          </w:p>
        </w:tc>
        <w:tc>
          <w:tcPr>
            <w:tcW w:w="220" w:type="dxa"/>
            <w:vAlign w:val="bottom"/>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620" w:type="dxa"/>
            <w:vAlign w:val="bottom"/>
            <w:tcBorders>
              <w:right w:val="single" w:sz="8" w:color="auto"/>
            </w:tcBorders>
            <w:vMerge w:val="continue"/>
            <w:shd w:val="clear" w:color="auto" w:fill="CFF0FC"/>
          </w:tcPr>
          <w:p>
            <w:pPr>
              <w:spacing w:after="0"/>
              <w:rPr>
                <w:sz w:val="14"/>
                <w:szCs w:val="14"/>
                <w:color w:val="auto"/>
              </w:rPr>
            </w:pPr>
          </w:p>
        </w:tc>
        <w:tc>
          <w:tcPr>
            <w:tcW w:w="900" w:type="dxa"/>
            <w:vAlign w:val="bottom"/>
            <w:gridSpan w:val="2"/>
            <w:shd w:val="clear" w:color="auto" w:fill="CFF0FC"/>
          </w:tcPr>
          <w:p>
            <w:pPr>
              <w:jc w:val="right"/>
              <w:ind w:right="62"/>
              <w:spacing w:after="0"/>
              <w:rPr>
                <w:sz w:val="20"/>
                <w:szCs w:val="20"/>
                <w:color w:val="auto"/>
              </w:rPr>
            </w:pPr>
            <w:r>
              <w:rPr>
                <w:rFonts w:ascii="Times New Roman" w:cs="Times New Roman" w:eastAsia="Times New Roman" w:hAnsi="Times New Roman"/>
                <w:sz w:val="14"/>
                <w:szCs w:val="14"/>
                <w:color w:val="auto"/>
              </w:rPr>
              <w:t>33</w:t>
            </w:r>
          </w:p>
        </w:tc>
        <w:tc>
          <w:tcPr>
            <w:tcW w:w="200" w:type="dxa"/>
            <w:vAlign w:val="bottom"/>
            <w:gridSpan w:val="2"/>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color w:val="auto"/>
              </w:rPr>
              <w:t>Issuance of common stock in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connection with vesting of restricted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0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4"/>
                <w:szCs w:val="14"/>
                <w:color w:val="auto"/>
              </w:rPr>
              <w:t>25,725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stock units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40" w:type="dxa"/>
            <w:vAlign w:val="bottom"/>
            <w:gridSpan w:val="2"/>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Issuance of common stock in settlement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tcBorders>
              <w:right w:val="single" w:sz="8" w:color="auto"/>
            </w:tcBorders>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4"/>
                <w:szCs w:val="14"/>
                <w:color w:val="auto"/>
              </w:rPr>
              <w:t>395,964</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56"/>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171"/>
        </w:trPr>
        <w:tc>
          <w:tcPr>
            <w:tcW w:w="33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of liability</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tcBorders>
              <w:right w:val="single" w:sz="8" w:color="auto"/>
            </w:tcBorders>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rPr>
              <w:t>2,202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2,202</w:t>
            </w: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9"/>
        </w:trPr>
        <w:tc>
          <w:tcPr>
            <w:tcW w:w="25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(39,025)</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(39,025)</w:t>
            </w:r>
          </w:p>
        </w:tc>
        <w:tc>
          <w:tcPr>
            <w:tcW w:w="0" w:type="dxa"/>
            <w:vAlign w:val="bottom"/>
          </w:tcPr>
          <w:p>
            <w:pPr>
              <w:spacing w:after="0"/>
              <w:rPr>
                <w:sz w:val="1"/>
                <w:szCs w:val="1"/>
                <w:color w:val="auto"/>
              </w:rPr>
            </w:pPr>
          </w:p>
        </w:tc>
      </w:tr>
      <w:tr>
        <w:trPr>
          <w:trHeight w:val="119"/>
        </w:trPr>
        <w:tc>
          <w:tcPr>
            <w:tcW w:w="3340" w:type="dxa"/>
            <w:vAlign w:val="bottom"/>
            <w:gridSpan w:val="2"/>
            <w:shd w:val="clear" w:color="auto" w:fill="CFF0FC"/>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 March 31, 2026</w:t>
            </w:r>
          </w:p>
        </w:tc>
        <w:tc>
          <w:tcPr>
            <w:tcW w:w="120" w:type="dxa"/>
            <w:vAlign w:val="bottom"/>
            <w:vMerge w:val="restart"/>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FF0FC"/>
          </w:tcPr>
          <w:p>
            <w:pPr>
              <w:jc w:val="right"/>
              <w:ind w:right="54"/>
              <w:spacing w:after="0"/>
              <w:rPr>
                <w:sz w:val="20"/>
                <w:szCs w:val="20"/>
                <w:color w:val="auto"/>
              </w:rPr>
            </w:pPr>
            <w:r>
              <w:rPr>
                <w:rFonts w:ascii="Times New Roman" w:cs="Times New Roman" w:eastAsia="Times New Roman" w:hAnsi="Times New Roman"/>
                <w:sz w:val="14"/>
                <w:szCs w:val="14"/>
                <w:color w:val="auto"/>
              </w:rPr>
              <w:t>2,151</w:t>
            </w:r>
          </w:p>
        </w:tc>
        <w:tc>
          <w:tcPr>
            <w:tcW w:w="120" w:type="dxa"/>
            <w:vAlign w:val="bottom"/>
            <w:vMerge w:val="restart"/>
            <w:shd w:val="clear" w:color="auto" w:fill="CFF0FC"/>
          </w:tcPr>
          <w:p>
            <w:pPr>
              <w:spacing w:after="0"/>
              <w:rPr>
                <w:sz w:val="10"/>
                <w:szCs w:val="10"/>
                <w:color w:val="auto"/>
              </w:rPr>
            </w:pPr>
          </w:p>
        </w:tc>
        <w:tc>
          <w:tcPr>
            <w:tcW w:w="840" w:type="dxa"/>
            <w:vAlign w:val="bottom"/>
            <w:vMerge w:val="restart"/>
            <w:shd w:val="clear" w:color="auto" w:fill="CFF0FC"/>
          </w:tcPr>
          <w:p>
            <w:pPr>
              <w:jc w:val="right"/>
              <w:ind w:right="63"/>
              <w:spacing w:after="0"/>
              <w:rPr>
                <w:sz w:val="20"/>
                <w:szCs w:val="20"/>
                <w:color w:val="auto"/>
              </w:rPr>
            </w:pPr>
            <w:r>
              <w:rPr>
                <w:rFonts w:ascii="Times New Roman" w:cs="Times New Roman" w:eastAsia="Times New Roman" w:hAnsi="Times New Roman"/>
                <w:sz w:val="14"/>
                <w:szCs w:val="14"/>
                <w:color w:val="auto"/>
              </w:rPr>
              <w:t>110,086</w:t>
            </w:r>
          </w:p>
        </w:tc>
        <w:tc>
          <w:tcPr>
            <w:tcW w:w="120" w:type="dxa"/>
            <w:vAlign w:val="bottom"/>
            <w:vMerge w:val="restart"/>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right w:val="single" w:sz="8" w:color="auto"/>
            </w:tcBorders>
            <w:vMerge w:val="restart"/>
            <w:shd w:val="clear" w:color="auto" w:fill="CFF0FC"/>
          </w:tcPr>
          <w:p>
            <w:pPr>
              <w:jc w:val="right"/>
              <w:ind w:right="74"/>
              <w:spacing w:after="0"/>
              <w:rPr>
                <w:sz w:val="20"/>
                <w:szCs w:val="20"/>
                <w:color w:val="auto"/>
              </w:rPr>
            </w:pPr>
            <w:r>
              <w:rPr>
                <w:rFonts w:ascii="Times New Roman" w:cs="Times New Roman" w:eastAsia="Times New Roman" w:hAnsi="Times New Roman"/>
                <w:sz w:val="14"/>
                <w:szCs w:val="14"/>
                <w:color w:val="auto"/>
              </w:rPr>
              <w:t>53,543</w:t>
            </w:r>
          </w:p>
        </w:tc>
        <w:tc>
          <w:tcPr>
            <w:tcW w:w="900" w:type="dxa"/>
            <w:vAlign w:val="bottom"/>
            <w:gridSpan w:val="2"/>
            <w:shd w:val="clear" w:color="auto" w:fill="CFF0FC"/>
          </w:tcPr>
          <w:p>
            <w:pPr>
              <w:jc w:val="right"/>
              <w:ind w:right="62"/>
              <w:spacing w:after="0" w:line="119" w:lineRule="exact"/>
              <w:rPr>
                <w:sz w:val="20"/>
                <w:szCs w:val="20"/>
                <w:color w:val="auto"/>
              </w:rPr>
            </w:pPr>
            <w:r>
              <w:rPr>
                <w:rFonts w:ascii="Times New Roman" w:cs="Times New Roman" w:eastAsia="Times New Roman" w:hAnsi="Times New Roman"/>
                <w:sz w:val="13"/>
                <w:szCs w:val="13"/>
                <w:color w:val="auto"/>
              </w:rPr>
              <w:t>75,851,7</w:t>
            </w:r>
          </w:p>
        </w:tc>
        <w:tc>
          <w:tcPr>
            <w:tcW w:w="100" w:type="dxa"/>
            <w:vAlign w:val="bottom"/>
            <w:vMerge w:val="restart"/>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vMerge w:val="restart"/>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FF0FC"/>
          </w:tcPr>
          <w:p>
            <w:pPr>
              <w:jc w:val="right"/>
              <w:ind w:right="56"/>
              <w:spacing w:after="0"/>
              <w:rPr>
                <w:sz w:val="20"/>
                <w:szCs w:val="20"/>
                <w:color w:val="auto"/>
              </w:rPr>
            </w:pPr>
            <w:r>
              <w:rPr>
                <w:rFonts w:ascii="Times New Roman" w:cs="Times New Roman" w:eastAsia="Times New Roman" w:hAnsi="Times New Roman"/>
                <w:sz w:val="14"/>
                <w:szCs w:val="14"/>
                <w:color w:val="auto"/>
              </w:rPr>
              <w:t>484,988</w:t>
            </w:r>
          </w:p>
        </w:tc>
        <w:tc>
          <w:tcPr>
            <w:tcW w:w="100" w:type="dxa"/>
            <w:vAlign w:val="bottom"/>
            <w:vMerge w:val="restart"/>
            <w:shd w:val="clear" w:color="auto" w:fill="CFF0FC"/>
          </w:tcPr>
          <w:p>
            <w:pPr>
              <w:spacing w:after="0"/>
              <w:rPr>
                <w:sz w:val="10"/>
                <w:szCs w:val="10"/>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(440,228)</w:t>
            </w:r>
          </w:p>
        </w:tc>
        <w:tc>
          <w:tcPr>
            <w:tcW w:w="24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44,764</w:t>
            </w:r>
          </w:p>
        </w:tc>
        <w:tc>
          <w:tcPr>
            <w:tcW w:w="0" w:type="dxa"/>
            <w:vAlign w:val="bottom"/>
          </w:tcPr>
          <w:p>
            <w:pPr>
              <w:spacing w:after="0"/>
              <w:rPr>
                <w:sz w:val="1"/>
                <w:szCs w:val="1"/>
                <w:color w:val="auto"/>
              </w:rPr>
            </w:pPr>
          </w:p>
        </w:tc>
      </w:tr>
      <w:tr>
        <w:trPr>
          <w:trHeight w:val="191"/>
        </w:trPr>
        <w:tc>
          <w:tcPr>
            <w:tcW w:w="2500" w:type="dxa"/>
            <w:vAlign w:val="bottom"/>
            <w:shd w:val="clear" w:color="auto" w:fill="CFF0FC"/>
          </w:tcPr>
          <w:p>
            <w:pPr>
              <w:spacing w:after="0"/>
              <w:rPr>
                <w:sz w:val="16"/>
                <w:szCs w:val="16"/>
                <w:color w:val="auto"/>
              </w:rPr>
            </w:pPr>
          </w:p>
        </w:tc>
        <w:tc>
          <w:tcPr>
            <w:tcW w:w="8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4,422</w:t>
            </w:r>
          </w:p>
        </w:tc>
        <w:tc>
          <w:tcPr>
            <w:tcW w:w="120" w:type="dxa"/>
            <w:vAlign w:val="bottom"/>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620" w:type="dxa"/>
            <w:vAlign w:val="bottom"/>
            <w:tcBorders>
              <w:right w:val="single" w:sz="8" w:color="auto"/>
            </w:tcBorders>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860" w:type="dxa"/>
            <w:vAlign w:val="bottom"/>
            <w:gridSpan w:val="2"/>
            <w:vMerge w:val="continue"/>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4"/>
            <w:vMerge w:val="restart"/>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Convertible Preferred Stock</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4"/>
            <w:vMerge w:val="restart"/>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4"/>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1700" w:type="dxa"/>
            <w:vAlign w:val="bottom"/>
            <w:gridSpan w:val="4"/>
            <w:vMerge w:val="restart"/>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w w:val="98"/>
              </w:rPr>
              <w:t>Series X Non-Voting Convertible</w:t>
            </w:r>
          </w:p>
        </w:tc>
        <w:tc>
          <w:tcPr>
            <w:tcW w:w="120" w:type="dxa"/>
            <w:vAlign w:val="bottom"/>
          </w:tcPr>
          <w:p>
            <w:pPr>
              <w:spacing w:after="0"/>
              <w:rPr>
                <w:sz w:val="10"/>
                <w:szCs w:val="10"/>
                <w:color w:val="auto"/>
              </w:rPr>
            </w:pPr>
          </w:p>
        </w:tc>
        <w:tc>
          <w:tcPr>
            <w:tcW w:w="1680" w:type="dxa"/>
            <w:vAlign w:val="bottom"/>
            <w:tcBorders>
              <w:right w:val="single" w:sz="8" w:color="auto"/>
            </w:tcBorders>
            <w:gridSpan w:val="4"/>
            <w:vMerge w:val="restart"/>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w w:val="96"/>
              </w:rPr>
              <w:t>Series X</w:t>
            </w:r>
            <w:r>
              <w:rPr>
                <w:rFonts w:ascii="Times New Roman" w:cs="Times New Roman" w:eastAsia="Times New Roman" w:hAnsi="Times New Roman"/>
                <w:sz w:val="14"/>
                <w:szCs w:val="14"/>
                <w:b w:val="1"/>
                <w:bCs w:val="1"/>
                <w:color w:val="auto"/>
                <w:w w:val="96"/>
                <w:vertAlign w:val="superscript"/>
              </w:rPr>
              <w:t>1</w:t>
            </w:r>
            <w:r>
              <w:rPr>
                <w:rFonts w:ascii="Times New Roman" w:cs="Times New Roman" w:eastAsia="Times New Roman" w:hAnsi="Times New Roman"/>
                <w:sz w:val="11"/>
                <w:szCs w:val="11"/>
                <w:b w:val="1"/>
                <w:bCs w:val="1"/>
                <w:color w:val="auto"/>
                <w:w w:val="96"/>
              </w:rPr>
              <w:t xml:space="preserve"> Non-Voting</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ind w:right="178"/>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500" w:type="dxa"/>
            <w:vAlign w:val="bottom"/>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tcBorders>
              <w:right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76"/>
              <w:spacing w:after="0" w:line="111"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9"/>
                <w:szCs w:val="9"/>
                <w:color w:val="auto"/>
              </w:rPr>
            </w:pPr>
          </w:p>
        </w:tc>
        <w:tc>
          <w:tcPr>
            <w:tcW w:w="760" w:type="dxa"/>
            <w:vAlign w:val="bottom"/>
            <w:gridSpan w:val="2"/>
          </w:tcPr>
          <w:p>
            <w:pPr>
              <w:ind w:left="20"/>
              <w:spacing w:after="0" w:line="111" w:lineRule="exact"/>
              <w:rPr>
                <w:sz w:val="20"/>
                <w:szCs w:val="20"/>
                <w:color w:val="auto"/>
              </w:rPr>
            </w:pPr>
            <w:r>
              <w:rPr>
                <w:rFonts w:ascii="Times New Roman" w:cs="Times New Roman" w:eastAsia="Times New Roman" w:hAnsi="Times New Roman"/>
                <w:sz w:val="11"/>
                <w:szCs w:val="11"/>
                <w:b w:val="1"/>
                <w:bCs w:val="1"/>
                <w:color w:val="auto"/>
              </w:rPr>
              <w:t>Comprehensi</w:t>
            </w: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center"/>
              <w:ind w:right="192"/>
              <w:spacing w:after="0" w:line="111"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00" w:type="dxa"/>
            <w:vAlign w:val="bottom"/>
            <w:tcBorders>
              <w:bottom w:val="single" w:sz="8" w:color="auto"/>
            </w:tcBorders>
            <w:gridSpan w:val="4"/>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20" w:type="dxa"/>
            <w:vAlign w:val="bottom"/>
          </w:tcPr>
          <w:p>
            <w:pPr>
              <w:spacing w:after="0"/>
              <w:rPr>
                <w:sz w:val="11"/>
                <w:szCs w:val="11"/>
                <w:color w:val="auto"/>
              </w:rPr>
            </w:pPr>
          </w:p>
        </w:tc>
        <w:tc>
          <w:tcPr>
            <w:tcW w:w="1680" w:type="dxa"/>
            <w:vAlign w:val="bottom"/>
            <w:tcBorders>
              <w:bottom w:val="single" w:sz="8" w:color="auto"/>
              <w:right w:val="single" w:sz="8" w:color="auto"/>
            </w:tcBorders>
            <w:gridSpan w:val="4"/>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w w:val="99"/>
              </w:rPr>
              <w:t>Convertible Preferred Stock</w:t>
            </w:r>
          </w:p>
        </w:tc>
        <w:tc>
          <w:tcPr>
            <w:tcW w:w="100" w:type="dxa"/>
            <w:vAlign w:val="bottom"/>
          </w:tcPr>
          <w:p>
            <w:pPr>
              <w:spacing w:after="0"/>
              <w:rPr>
                <w:sz w:val="11"/>
                <w:szCs w:val="11"/>
                <w:color w:val="auto"/>
              </w:rPr>
            </w:pPr>
          </w:p>
        </w:tc>
        <w:tc>
          <w:tcPr>
            <w:tcW w:w="166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center"/>
              <w:ind w:right="158"/>
              <w:spacing w:after="0"/>
              <w:rPr>
                <w:sz w:val="20"/>
                <w:szCs w:val="20"/>
                <w:color w:val="auto"/>
              </w:rPr>
            </w:pPr>
            <w:r>
              <w:rPr>
                <w:rFonts w:ascii="Times New Roman" w:cs="Times New Roman" w:eastAsia="Times New Roman" w:hAnsi="Times New Roman"/>
                <w:sz w:val="11"/>
                <w:szCs w:val="11"/>
                <w:b w:val="1"/>
                <w:bCs w:val="1"/>
                <w:color w:val="auto"/>
                <w:w w:val="95"/>
              </w:rPr>
              <w:t>ve</w:t>
            </w:r>
          </w:p>
        </w:tc>
        <w:tc>
          <w:tcPr>
            <w:tcW w:w="120" w:type="dxa"/>
            <w:vAlign w:val="bottom"/>
          </w:tcPr>
          <w:p>
            <w:pPr>
              <w:spacing w:after="0"/>
              <w:rPr>
                <w:sz w:val="11"/>
                <w:szCs w:val="11"/>
                <w:color w:val="auto"/>
              </w:rPr>
            </w:pPr>
          </w:p>
        </w:tc>
        <w:tc>
          <w:tcPr>
            <w:tcW w:w="74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99"/>
        </w:trPr>
        <w:tc>
          <w:tcPr>
            <w:tcW w:w="2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center"/>
              <w:ind w:right="198"/>
              <w:spacing w:after="0" w:line="100" w:lineRule="exact"/>
              <w:rPr>
                <w:sz w:val="20"/>
                <w:szCs w:val="20"/>
                <w:color w:val="auto"/>
              </w:rPr>
            </w:pPr>
            <w:r>
              <w:rPr>
                <w:rFonts w:ascii="Times New Roman" w:cs="Times New Roman" w:eastAsia="Times New Roman" w:hAnsi="Times New Roman"/>
                <w:sz w:val="11"/>
                <w:szCs w:val="11"/>
                <w:b w:val="1"/>
                <w:bCs w:val="1"/>
                <w:color w:val="auto"/>
                <w:w w:val="97"/>
              </w:rPr>
              <w:t>Income</w:t>
            </w: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500" w:type="dxa"/>
            <w:vAlign w:val="bottom"/>
          </w:tcPr>
          <w:p>
            <w:pPr>
              <w:spacing w:after="0"/>
              <w:rPr>
                <w:sz w:val="11"/>
                <w:szCs w:val="11"/>
                <w:color w:val="auto"/>
              </w:rPr>
            </w:pPr>
          </w:p>
        </w:tc>
        <w:tc>
          <w:tcPr>
            <w:tcW w:w="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1"/>
                <w:szCs w:val="11"/>
                <w:color w:val="auto"/>
              </w:rPr>
            </w:pPr>
          </w:p>
        </w:tc>
        <w:tc>
          <w:tcPr>
            <w:tcW w:w="8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100" w:type="dxa"/>
            <w:vAlign w:val="bottom"/>
          </w:tcPr>
          <w:p>
            <w:pPr>
              <w:spacing w:after="0"/>
              <w:rPr>
                <w:sz w:val="11"/>
                <w:szCs w:val="11"/>
                <w:color w:val="auto"/>
              </w:rPr>
            </w:pPr>
          </w:p>
        </w:tc>
        <w:tc>
          <w:tcPr>
            <w:tcW w:w="8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120" w:type="dxa"/>
            <w:vAlign w:val="bottom"/>
          </w:tcPr>
          <w:p>
            <w:pPr>
              <w:spacing w:after="0"/>
              <w:rPr>
                <w:sz w:val="11"/>
                <w:szCs w:val="11"/>
                <w:color w:val="auto"/>
              </w:rPr>
            </w:pPr>
          </w:p>
        </w:tc>
        <w:tc>
          <w:tcPr>
            <w:tcW w:w="7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241"/>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color w:val="auto"/>
              </w:rPr>
              <w:t>2,151</w:t>
            </w:r>
          </w:p>
        </w:tc>
        <w:tc>
          <w:tcPr>
            <w:tcW w:w="96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rPr>
              <w:t>110,086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4"/>
                <w:szCs w:val="14"/>
                <w:color w:val="auto"/>
              </w:rPr>
              <w:t>53,543</w:t>
            </w:r>
          </w:p>
        </w:tc>
        <w:tc>
          <w:tcPr>
            <w:tcW w:w="90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color w:val="auto"/>
              </w:rPr>
              <w:t>59,789,2</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color w:val="auto"/>
              </w:rPr>
              <w:t>417,946</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color w:val="auto"/>
              </w:rPr>
              <w:t>26</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(355,586)</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62,446</w:t>
            </w:r>
          </w:p>
        </w:tc>
        <w:tc>
          <w:tcPr>
            <w:tcW w:w="0" w:type="dxa"/>
            <w:vAlign w:val="bottom"/>
          </w:tcPr>
          <w:p>
            <w:pPr>
              <w:spacing w:after="0"/>
              <w:rPr>
                <w:sz w:val="1"/>
                <w:szCs w:val="1"/>
                <w:color w:val="auto"/>
              </w:rPr>
            </w:pPr>
          </w:p>
        </w:tc>
      </w:tr>
      <w:tr>
        <w:trPr>
          <w:trHeight w:val="171"/>
        </w:trPr>
        <w:tc>
          <w:tcPr>
            <w:tcW w:w="3340" w:type="dxa"/>
            <w:vAlign w:val="bottom"/>
            <w:gridSpan w:val="2"/>
          </w:tcPr>
          <w:p>
            <w:pPr>
              <w:ind w:left="2880"/>
              <w:spacing w:after="0"/>
              <w:rPr>
                <w:sz w:val="20"/>
                <w:szCs w:val="20"/>
                <w:color w:val="auto"/>
              </w:rPr>
            </w:pPr>
            <w:r>
              <w:rPr>
                <w:rFonts w:ascii="Times New Roman" w:cs="Times New Roman" w:eastAsia="Times New Roman" w:hAnsi="Times New Roman"/>
                <w:sz w:val="14"/>
                <w:szCs w:val="14"/>
                <w:color w:val="auto"/>
              </w:rPr>
              <w:t>4,422</w:t>
            </w:r>
          </w:p>
        </w:tc>
        <w:tc>
          <w:tcPr>
            <w:tcW w:w="2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20" w:type="dxa"/>
            <w:vAlign w:val="bottom"/>
            <w:tcBorders>
              <w:right w:val="single" w:sz="8" w:color="auto"/>
            </w:tcBorders>
            <w:vMerge w:val="continue"/>
          </w:tcPr>
          <w:p>
            <w:pPr>
              <w:spacing w:after="0"/>
              <w:rPr>
                <w:sz w:val="14"/>
                <w:szCs w:val="14"/>
                <w:color w:val="auto"/>
              </w:rPr>
            </w:pPr>
          </w:p>
        </w:tc>
        <w:tc>
          <w:tcPr>
            <w:tcW w:w="90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color w:val="auto"/>
              </w:rPr>
              <w:t>75</w:t>
            </w:r>
          </w:p>
        </w:tc>
        <w:tc>
          <w:tcPr>
            <w:tcW w:w="2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40" w:type="dxa"/>
            <w:vAlign w:val="bottom"/>
            <w:gridSpan w:val="2"/>
            <w:shd w:val="clear" w:color="auto" w:fill="CFF0FC"/>
          </w:tcPr>
          <w:p>
            <w:pPr>
              <w:ind w:left="60"/>
              <w:spacing w:after="0" w:line="126" w:lineRule="exact"/>
              <w:rPr>
                <w:sz w:val="20"/>
                <w:szCs w:val="20"/>
                <w:color w:val="auto"/>
              </w:rPr>
            </w:pPr>
            <w:r>
              <w:rPr>
                <w:rFonts w:ascii="Times New Roman" w:cs="Times New Roman" w:eastAsia="Times New Roman" w:hAnsi="Times New Roman"/>
                <w:sz w:val="14"/>
                <w:szCs w:val="14"/>
                <w:color w:val="auto"/>
              </w:rPr>
              <w:t>Issuance of common stock in</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connection with vesting of restricted</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tcBorders>
              <w:right w:val="single" w:sz="8" w:color="auto"/>
            </w:tcBorders>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4"/>
                <w:szCs w:val="14"/>
                <w:color w:val="auto"/>
              </w:rPr>
              <w:t>42,500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stock units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tcBorders>
              <w:right w:val="single" w:sz="8" w:color="auto"/>
            </w:tcBorders>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 option exercise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00" w:type="dxa"/>
            <w:vAlign w:val="bottom"/>
            <w:gridSpan w:val="2"/>
          </w:tcPr>
          <w:p>
            <w:pPr>
              <w:jc w:val="right"/>
              <w:ind w:right="62"/>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48"/>
        </w:trPr>
        <w:tc>
          <w:tcPr>
            <w:tcW w:w="3340" w:type="dxa"/>
            <w:vAlign w:val="bottom"/>
            <w:gridSpan w:val="2"/>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56"/>
              <w:spacing w:after="0" w:line="149" w:lineRule="exact"/>
              <w:rPr>
                <w:sz w:val="20"/>
                <w:szCs w:val="20"/>
                <w:color w:val="auto"/>
              </w:rPr>
            </w:pPr>
            <w:r>
              <w:rPr>
                <w:rFonts w:ascii="Times New Roman" w:cs="Times New Roman" w:eastAsia="Times New Roman" w:hAnsi="Times New Roman"/>
                <w:sz w:val="14"/>
                <w:szCs w:val="14"/>
                <w:color w:val="auto"/>
              </w:rPr>
              <w:t>2,864</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2,864</w:t>
            </w:r>
          </w:p>
        </w:tc>
        <w:tc>
          <w:tcPr>
            <w:tcW w:w="0" w:type="dxa"/>
            <w:vAlign w:val="bottom"/>
          </w:tcPr>
          <w:p>
            <w:pPr>
              <w:spacing w:after="0"/>
              <w:rPr>
                <w:sz w:val="1"/>
                <w:szCs w:val="1"/>
                <w:color w:val="auto"/>
              </w:rPr>
            </w:pPr>
          </w:p>
        </w:tc>
      </w:tr>
      <w:tr>
        <w:trPr>
          <w:trHeight w:val="149"/>
        </w:trPr>
        <w:tc>
          <w:tcPr>
            <w:tcW w:w="33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8"/>
        </w:trPr>
        <w:tc>
          <w:tcPr>
            <w:tcW w:w="2500" w:type="dxa"/>
            <w:vAlign w:val="bottom"/>
            <w:tcBorders>
              <w:bottom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right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(6,495)</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(6,495)</w:t>
            </w:r>
          </w:p>
        </w:tc>
        <w:tc>
          <w:tcPr>
            <w:tcW w:w="0" w:type="dxa"/>
            <w:vAlign w:val="bottom"/>
          </w:tcPr>
          <w:p>
            <w:pPr>
              <w:spacing w:after="0"/>
              <w:rPr>
                <w:sz w:val="1"/>
                <w:szCs w:val="1"/>
                <w:color w:val="auto"/>
              </w:rPr>
            </w:pPr>
          </w:p>
        </w:tc>
      </w:tr>
      <w:tr>
        <w:trPr>
          <w:trHeight w:val="119"/>
        </w:trPr>
        <w:tc>
          <w:tcPr>
            <w:tcW w:w="33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 March 31, 2025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color w:val="auto"/>
              </w:rPr>
              <w:t>2,151</w:t>
            </w:r>
          </w:p>
        </w:tc>
        <w:tc>
          <w:tcPr>
            <w:tcW w:w="96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rPr>
              <w:t>110,086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auto"/>
            </w:tcBorders>
            <w:vMerge w:val="restart"/>
          </w:tcPr>
          <w:p>
            <w:pPr>
              <w:jc w:val="right"/>
              <w:ind w:right="74"/>
              <w:spacing w:after="0"/>
              <w:rPr>
                <w:sz w:val="20"/>
                <w:szCs w:val="20"/>
                <w:color w:val="auto"/>
              </w:rPr>
            </w:pPr>
            <w:r>
              <w:rPr>
                <w:rFonts w:ascii="Times New Roman" w:cs="Times New Roman" w:eastAsia="Times New Roman" w:hAnsi="Times New Roman"/>
                <w:sz w:val="14"/>
                <w:szCs w:val="14"/>
                <w:color w:val="auto"/>
              </w:rPr>
              <w:t>53,543</w:t>
            </w:r>
          </w:p>
        </w:tc>
        <w:tc>
          <w:tcPr>
            <w:tcW w:w="900" w:type="dxa"/>
            <w:vAlign w:val="bottom"/>
            <w:gridSpan w:val="2"/>
          </w:tcPr>
          <w:p>
            <w:pPr>
              <w:jc w:val="right"/>
              <w:ind w:right="62"/>
              <w:spacing w:after="0" w:line="119" w:lineRule="exact"/>
              <w:rPr>
                <w:sz w:val="20"/>
                <w:szCs w:val="20"/>
                <w:color w:val="auto"/>
              </w:rPr>
            </w:pPr>
            <w:r>
              <w:rPr>
                <w:rFonts w:ascii="Times New Roman" w:cs="Times New Roman" w:eastAsia="Times New Roman" w:hAnsi="Times New Roman"/>
                <w:sz w:val="13"/>
                <w:szCs w:val="13"/>
                <w:color w:val="auto"/>
              </w:rPr>
              <w:t>59,881,7</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color w:val="auto"/>
              </w:rPr>
              <w:t>420,925</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(362,081)</w:t>
            </w: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58,886</w:t>
            </w:r>
          </w:p>
        </w:tc>
        <w:tc>
          <w:tcPr>
            <w:tcW w:w="0" w:type="dxa"/>
            <w:vAlign w:val="bottom"/>
          </w:tcPr>
          <w:p>
            <w:pPr>
              <w:spacing w:after="0"/>
              <w:rPr>
                <w:sz w:val="1"/>
                <w:szCs w:val="1"/>
                <w:color w:val="auto"/>
              </w:rPr>
            </w:pPr>
          </w:p>
        </w:tc>
      </w:tr>
      <w:tr>
        <w:trPr>
          <w:trHeight w:val="171"/>
        </w:trPr>
        <w:tc>
          <w:tcPr>
            <w:tcW w:w="3340" w:type="dxa"/>
            <w:vAlign w:val="bottom"/>
            <w:gridSpan w:val="2"/>
          </w:tcPr>
          <w:p>
            <w:pPr>
              <w:ind w:left="2880"/>
              <w:spacing w:after="0"/>
              <w:rPr>
                <w:sz w:val="20"/>
                <w:szCs w:val="20"/>
                <w:color w:val="auto"/>
              </w:rPr>
            </w:pPr>
            <w:r>
              <w:rPr>
                <w:rFonts w:ascii="Times New Roman" w:cs="Times New Roman" w:eastAsia="Times New Roman" w:hAnsi="Times New Roman"/>
                <w:sz w:val="14"/>
                <w:szCs w:val="14"/>
                <w:color w:val="auto"/>
              </w:rPr>
              <w:t>4,422</w:t>
            </w:r>
          </w:p>
        </w:tc>
        <w:tc>
          <w:tcPr>
            <w:tcW w:w="2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20" w:type="dxa"/>
            <w:vAlign w:val="bottom"/>
            <w:tcBorders>
              <w:right w:val="single" w:sz="8" w:color="auto"/>
            </w:tcBorders>
            <w:vMerge w:val="continue"/>
          </w:tcPr>
          <w:p>
            <w:pPr>
              <w:spacing w:after="0"/>
              <w:rPr>
                <w:sz w:val="14"/>
                <w:szCs w:val="14"/>
                <w:color w:val="auto"/>
              </w:rPr>
            </w:pPr>
          </w:p>
        </w:tc>
        <w:tc>
          <w:tcPr>
            <w:tcW w:w="90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color w:val="auto"/>
              </w:rPr>
              <w:t>75</w:t>
            </w:r>
          </w:p>
        </w:tc>
        <w:tc>
          <w:tcPr>
            <w:tcW w:w="2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-2150745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-2133600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-2150745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-2133600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-2150745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-2133600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-2150745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-2133600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-2150745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-2133600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-2150745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-2133600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-2150745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-2133600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-2150745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-2133600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-2150745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-2133600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-222250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-222250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-222250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-222250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-222250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-222250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-222250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-222250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-222250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ELEDON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6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used in operating activities:</w:t>
            </w:r>
          </w:p>
        </w:tc>
        <w:tc>
          <w:tcPr>
            <w:tcW w:w="1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(39,025)</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Accretion of investment discounts</w:t>
            </w:r>
          </w:p>
        </w:tc>
        <w:tc>
          <w:tcPr>
            <w:tcW w:w="1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2,864</w:t>
            </w: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18,962</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(10,060)</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r>
      <w:tr>
        <w:trPr>
          <w:trHeight w:val="216"/>
        </w:trPr>
        <w:tc>
          <w:tcPr>
            <w:tcW w:w="65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9"/>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(22,612)</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(16,060)</w:t>
            </w: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available-for-sale short-term investments</w:t>
            </w: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(31,850)</w:t>
            </w:r>
          </w:p>
        </w:tc>
      </w:tr>
      <w:tr>
        <w:trPr>
          <w:trHeight w:val="216"/>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maturities of available-for-sale short-term investments</w:t>
            </w:r>
          </w:p>
        </w:tc>
        <w:tc>
          <w:tcPr>
            <w:tcW w:w="1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49,078</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35,742</w:t>
            </w:r>
          </w:p>
        </w:tc>
      </w:tr>
      <w:tr>
        <w:trPr>
          <w:trHeight w:val="210"/>
        </w:trPr>
        <w:tc>
          <w:tcPr>
            <w:tcW w:w="6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2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5,956</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3,892</w:t>
            </w:r>
          </w:p>
        </w:tc>
      </w:tr>
      <w:tr>
        <w:trPr>
          <w:trHeight w:val="209"/>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6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115</w:t>
            </w:r>
          </w:p>
        </w:tc>
      </w:tr>
      <w:tr>
        <w:trPr>
          <w:trHeight w:val="210"/>
        </w:trPr>
        <w:tc>
          <w:tcPr>
            <w:tcW w:w="65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w:t>
            </w: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w:t>
            </w:r>
          </w:p>
        </w:tc>
      </w:tr>
      <w:tr>
        <w:trPr>
          <w:trHeight w:val="216"/>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22,808</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20,549</w:t>
            </w: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6,152</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8,496</w:t>
            </w:r>
          </w:p>
        </w:tc>
      </w:tr>
      <w:tr>
        <w:trPr>
          <w:trHeight w:val="20"/>
        </w:trPr>
        <w:tc>
          <w:tcPr>
            <w:tcW w:w="6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5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1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Non-cash activities:</w:t>
            </w: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in settlement of liability</w:t>
            </w:r>
          </w:p>
        </w:tc>
        <w:tc>
          <w:tcPr>
            <w:tcW w:w="220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available-for-sale securities, net</w:t>
            </w:r>
          </w:p>
        </w:tc>
        <w:tc>
          <w:tcPr>
            <w:tcW w:w="22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-2153920</wp:posOffset>
            </wp:positionV>
            <wp:extent cx="120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-1588135</wp:posOffset>
            </wp:positionV>
            <wp:extent cx="120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-1172210</wp:posOffset>
            </wp:positionV>
            <wp:extent cx="145415"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5415" cy="1797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-730885</wp:posOffset>
            </wp:positionV>
            <wp:extent cx="1200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340" w:right="2620"/>
        <w:spacing w:after="0" w:line="278" w:lineRule="auto"/>
        <w:rPr>
          <w:sz w:val="20"/>
          <w:szCs w:val="20"/>
          <w:color w:val="auto"/>
        </w:rPr>
      </w:pPr>
      <w:r>
        <w:rPr>
          <w:rFonts w:ascii="Times New Roman" w:cs="Times New Roman" w:eastAsia="Times New Roman" w:hAnsi="Times New Roman"/>
          <w:sz w:val="18"/>
          <w:szCs w:val="18"/>
          <w:b w:val="1"/>
          <w:bCs w:val="1"/>
          <w:color w:val="auto"/>
        </w:rPr>
        <w:t>ELEDON PHARMACEUTICALS, INC. NOTES TO CONDENSED CONSOLIDATED FINANCIAL STATEMENTS (Unaudited)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21" w:lineRule="exact"/>
        <w:rPr>
          <w:sz w:val="20"/>
          <w:szCs w:val="20"/>
          <w:color w:val="auto"/>
        </w:rPr>
      </w:pPr>
    </w:p>
    <w:p>
      <w:pPr>
        <w:ind w:right="40" w:firstLine="599"/>
        <w:spacing w:after="0" w:line="258" w:lineRule="auto"/>
        <w:rPr>
          <w:sz w:val="20"/>
          <w:szCs w:val="20"/>
          <w:color w:val="auto"/>
        </w:rPr>
      </w:pPr>
      <w:r>
        <w:rPr>
          <w:rFonts w:ascii="Times New Roman" w:cs="Times New Roman" w:eastAsia="Times New Roman" w:hAnsi="Times New Roman"/>
          <w:sz w:val="18"/>
          <w:szCs w:val="18"/>
          <w:color w:val="auto"/>
        </w:rPr>
        <w:t>Eledon Pharmaceuticals, Inc. is a clinical stage biotechnology company using its immunology expertise in targeting the CD40 Ligand (“CD40L”) pathway to develop therapies to protect transplanted organs and prevent rejection, and to treat amyotrophic lateral sclerosis (“ALS”). The Company’s lead compound in development is tegoprubart, an IgG1, anti-CD40L antibody with high affinity for the CD40L, a well-validated biological target that we believe has broad therapeutic potential. Unless otherwise indicated, references to the terms “Eledon,” “our,” “us,” “we,” or the “Company” refer to Eledon Pharmaceuticals, Inc. and its wholly owned subsidiaries, on a consolidated basis.</w:t>
      </w:r>
    </w:p>
    <w:p>
      <w:pPr>
        <w:spacing w:after="0" w:line="183" w:lineRule="exact"/>
        <w:rPr>
          <w:sz w:val="20"/>
          <w:szCs w:val="20"/>
          <w:color w:val="auto"/>
        </w:rPr>
      </w:pPr>
    </w:p>
    <w:p>
      <w:pPr>
        <w:ind w:right="600" w:firstLine="599"/>
        <w:spacing w:after="0" w:line="261" w:lineRule="auto"/>
        <w:rPr>
          <w:sz w:val="20"/>
          <w:szCs w:val="20"/>
          <w:color w:val="auto"/>
        </w:rPr>
      </w:pPr>
      <w:r>
        <w:rPr>
          <w:rFonts w:ascii="Times New Roman" w:cs="Times New Roman" w:eastAsia="Times New Roman" w:hAnsi="Times New Roman"/>
          <w:sz w:val="18"/>
          <w:szCs w:val="18"/>
          <w:color w:val="auto"/>
        </w:rPr>
        <w:t>On September 14, 2020, Eledon acquired Anelixis Therapeutics, Inc. (“Anelixis”), a privately held clinical stage biotechnology company developing a next generation anti-CD40L antibody as a potential treatment for organ and cellular transplantation, autoimmune diseases, and neurodegenerative diseases. The Company maintains its corporate headquarters in Irvine, California and has research and development facilities in Burlington, Massachusetts.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59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(“GAAP”) and Article 8 of Regulation S-X requirements as set forth by the Securities and Exchange Commission (“SEC”) for interim financial information and reflect all adjustments and disclosures, which are, in the opinion of management, of a normal and recurring nature, and considered necessary for a fair presentation of the financial information contained herein. Pursuant to these rules and regulations, the unaudited condensed consolidated financial statements do not include all information and notes necessary for a complete presentation of results of operations and comprehensive loss, financial position, and cash flows in conformity with GAAP.</w:t>
      </w:r>
    </w:p>
    <w:p>
      <w:pPr>
        <w:spacing w:after="0" w:line="187" w:lineRule="exact"/>
        <w:rPr>
          <w:sz w:val="20"/>
          <w:szCs w:val="20"/>
          <w:color w:val="auto"/>
        </w:rPr>
      </w:pPr>
    </w:p>
    <w:p>
      <w:pPr>
        <w:jc w:val="both"/>
        <w:ind w:right="120" w:firstLine="599"/>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should be read in conjunction with the audited consolidated financial statements and accompanying notes of Eledon for the year ended December 31, 2025 included in the Company’s Annual Report on Form 10-K filed by the Company with the SEC on March 19, 2026. The results of operations and comprehensive loss for the three months ended March 31, 2026 are not necessarily indicative of results expected for the full fiscal year or any other future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20" w:firstLine="599"/>
        <w:spacing w:after="0" w:line="266" w:lineRule="auto"/>
        <w:rPr>
          <w:sz w:val="20"/>
          <w:szCs w:val="20"/>
          <w:color w:val="auto"/>
        </w:rPr>
      </w:pPr>
      <w:r>
        <w:rPr>
          <w:rFonts w:ascii="Times New Roman" w:cs="Times New Roman" w:eastAsia="Times New Roman" w:hAnsi="Times New Roman"/>
          <w:sz w:val="18"/>
          <w:szCs w:val="18"/>
          <w:color w:val="auto"/>
        </w:rPr>
        <w:t>Eledon, a Delaware corporation, owns 100% of the issued and outstanding common stock or other ownership interest in Anelixis Therapeutics, LLC, a Delaware limited liability company, and Otic Pharma, Ltd., a private limited company organized under the laws of the State of Israel (“Otic”). Otic owns 100% of the issued and outstanding common stock or other ownership interest in its U.S. subsidiary, Otic Pharma, Inc.</w:t>
      </w:r>
    </w:p>
    <w:p>
      <w:pPr>
        <w:spacing w:after="0" w:line="176" w:lineRule="exact"/>
        <w:rPr>
          <w:sz w:val="20"/>
          <w:szCs w:val="20"/>
          <w:color w:val="auto"/>
        </w:rPr>
      </w:pPr>
    </w:p>
    <w:p>
      <w:pPr>
        <w:ind w:firstLine="599"/>
        <w:spacing w:after="0" w:line="266"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is the U.S. Dollar; however, certain expenses, assets and liabilities are transacted at the local currency. These transactions are translated from the local currency into U.S. Dollars at exchange rates during or at the end of the reporting period. The activities of the Company’s foreign subsidiary are not significant to the unaudited condensed consolidated financial statements.</w:t>
      </w:r>
    </w:p>
    <w:p>
      <w:pPr>
        <w:spacing w:after="0" w:line="176" w:lineRule="exact"/>
        <w:rPr>
          <w:sz w:val="20"/>
          <w:szCs w:val="20"/>
          <w:color w:val="auto"/>
        </w:rPr>
      </w:pPr>
    </w:p>
    <w:p>
      <w:pPr>
        <w:ind w:right="520" w:firstLine="599"/>
        <w:spacing w:after="0" w:line="282" w:lineRule="auto"/>
        <w:rPr>
          <w:sz w:val="20"/>
          <w:szCs w:val="20"/>
          <w:color w:val="auto"/>
        </w:rPr>
      </w:pPr>
      <w:r>
        <w:rPr>
          <w:rFonts w:ascii="Times New Roman" w:cs="Times New Roman" w:eastAsia="Times New Roman" w:hAnsi="Times New Roman"/>
          <w:sz w:val="18"/>
          <w:szCs w:val="18"/>
          <w:color w:val="auto"/>
        </w:rPr>
        <w:t>All significant intercompany accounts and transactions among the entities have been eliminated from the unaudited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599"/>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informed estimates and assumptions that affect the reported amounts of assets, liabilities and expenses and the disclosure of contingent assets and liabilities in the Company’s consolidated financial statements and accompanying notes. The most significant estimates in the Company’s consolidated financial statements relate to stock-based compensation expense, warrant liabilities, the fair value of right-of-use (“ROU”) assets and liabilities, accruals for liabilities, impairment of long-lived assets, and other matters that affect the consolidated financial statements and related disclosures. Management</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bases its estimates on historical experience and on various other market-specific and relevant assumptions that management believes to be reasonable under the circumstances. Actual results could differ materially from those estimates under different assumptions or conditions and the differences may be material to the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20" w:firstLine="599"/>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 of credit risk consists of cash, cash equivalents and short-term investments. The Company maintains deposits in federally insured institutions in excess of federally insured limits and invests in short-term investments with the primary objective of seeking to preserve principal, achieve liquidity requirements and safeguard invested funds. We believe that the Company is not exposed to significant credit risk due to the financial position of the depository institution in which those deposits are held and the nature, including the credit ratings, of our cash equivalents and short-term investments, but we have not eliminated all credit risk.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80" w:firstLine="599"/>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when purchased to be cash equivalents. Cash and cash equivalents include cash in readily available checking accounts, money market funds, U.S. government securities and U.S. government agency securities. Cash and cash equivalents are valued at cost, which approximates their fair value due to the short-term maturities of these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Liquidity</w:t>
      </w:r>
    </w:p>
    <w:p>
      <w:pPr>
        <w:spacing w:after="0" w:line="121" w:lineRule="exact"/>
        <w:rPr>
          <w:sz w:val="20"/>
          <w:szCs w:val="20"/>
          <w:color w:val="auto"/>
        </w:rPr>
      </w:pPr>
    </w:p>
    <w:p>
      <w:pPr>
        <w:ind w:right="60" w:firstLine="599"/>
        <w:spacing w:after="0" w:line="252" w:lineRule="auto"/>
        <w:rPr>
          <w:sz w:val="20"/>
          <w:szCs w:val="20"/>
          <w:color w:val="auto"/>
        </w:rPr>
      </w:pPr>
      <w:r>
        <w:rPr>
          <w:rFonts w:ascii="Times New Roman" w:cs="Times New Roman" w:eastAsia="Times New Roman" w:hAnsi="Times New Roman"/>
          <w:sz w:val="18"/>
          <w:szCs w:val="18"/>
          <w:color w:val="auto"/>
        </w:rPr>
        <w:t>Since inception, the Company devoted substantially all of its resources to its research and development efforts, pre-clinical studies and clinical trials, establishing and maintaining its intellectual property portfolio, hiring personnel, raising capital, and providing general and administrative support for these operations. The Company has experienced recurring net losses and negative cash flows from operating activities since its inception. The Company recorded a net loss of $39.0 million for the three months ended March 31, 2026. As of March 31, 2026, the Company had cash and cash equivalents and short-term investments of $111.1 million, working capital of $100.1 million and an accumulated deficit of $440.2 million. Due to continuing research and development activities, the Company expects to continue to incur net losses into the foreseeable future. In order to continue these activities, the Company will need to raise additional funds through public or private debt and equity financings including the possible issuance of shares of its common stock, $0.001 par value per share (“common stock”) pursuant to the Company’s “at-the-market” equity offering program, and may need to pursue strategic collaboration and licensing arrangements. The Company’s ability to raise additional capital in the equity and debt markets is dependent on a number of factors, including, but not limited to, the market demand for the Company’s common stock, which itself is subject to a number of development and business risks and uncertainties, as well as the uncertainty that the Company would be able to raise such additional capital at a price or on terms that are favorable to the Company. If the Company issues equity or convertible debt securities to raise additional funding, its existing stockholders may experience dilution, it may incur significant financing costs, and the new equity or convertible debt securities may have rights, preferences and privileges senior to those of its existing stockholders. If the Company issues debt securities to raise additional funding, it would incur additional debt service obligations, it could become subject to additional restrictions limiting its ability to operate its business, and it may be required to further encumber its assets.</w:t>
      </w:r>
    </w:p>
    <w:p>
      <w:pPr>
        <w:spacing w:after="0" w:line="196" w:lineRule="exact"/>
        <w:rPr>
          <w:sz w:val="20"/>
          <w:szCs w:val="20"/>
          <w:color w:val="auto"/>
        </w:rPr>
      </w:pPr>
    </w:p>
    <w:p>
      <w:pPr>
        <w:ind w:right="120" w:firstLine="599"/>
        <w:spacing w:after="0" w:line="258" w:lineRule="auto"/>
        <w:rPr>
          <w:sz w:val="20"/>
          <w:szCs w:val="20"/>
          <w:color w:val="auto"/>
        </w:rPr>
      </w:pPr>
      <w:r>
        <w:rPr>
          <w:rFonts w:ascii="Times New Roman" w:cs="Times New Roman" w:eastAsia="Times New Roman" w:hAnsi="Times New Roman"/>
          <w:sz w:val="18"/>
          <w:szCs w:val="18"/>
          <w:color w:val="auto"/>
        </w:rPr>
        <w:t>The Company expects that, based on its current operating plans, the Company’s existing cash, cash equivalents and marketable securities will be sufficient to fund its currently planned operations for at least the next 12 months from the filing date of these unaudited condensed consolidated financial statements. The Company anticipates it will require additional financing to fund its future operations. Even if the Company believes it has sufficient funds for its current or future operating plans, the Company may seek to raise additional capital if market conditions are favorable or in light of other strategic considerations.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80808"/>
        </w:rPr>
        <w:t>Reportable Segments</w:t>
      </w:r>
    </w:p>
    <w:p>
      <w:pPr>
        <w:spacing w:after="0" w:line="121" w:lineRule="exact"/>
        <w:rPr>
          <w:sz w:val="20"/>
          <w:szCs w:val="20"/>
          <w:color w:val="auto"/>
        </w:rPr>
      </w:pPr>
    </w:p>
    <w:p>
      <w:pPr>
        <w:ind w:right="20" w:firstLine="599"/>
        <w:spacing w:after="0" w:line="256" w:lineRule="auto"/>
        <w:rPr>
          <w:sz w:val="20"/>
          <w:szCs w:val="20"/>
          <w:color w:val="auto"/>
        </w:rPr>
      </w:pPr>
      <w:r>
        <w:rPr>
          <w:rFonts w:ascii="Times New Roman" w:cs="Times New Roman" w:eastAsia="Times New Roman" w:hAnsi="Times New Roman"/>
          <w:sz w:val="18"/>
          <w:szCs w:val="18"/>
          <w:color w:val="080808"/>
        </w:rPr>
        <w:t xml:space="preserve">Operating segments are defined as components of an entity for which separate financial information is available and that is regularly reviewed by the Chief Operating Decision Maker (“CODM”) in deciding how to allocate resources and in assessing performance. The Company operates as one operating and one reportable segment, focused on the development of tegoprubart, to develop therapies to protect transplanted organs and prevent rejection, and to treat ALS. </w:t>
      </w:r>
      <w:r>
        <w:rPr>
          <w:rFonts w:ascii="Times New Roman" w:cs="Times New Roman" w:eastAsia="Times New Roman" w:hAnsi="Times New Roman"/>
          <w:sz w:val="18"/>
          <w:szCs w:val="18"/>
          <w:color w:val="000000"/>
        </w:rPr>
        <w:t>The Company’s measure of segment profit or loss is net loss. The CODM is the chief executive officer. The CODM manages and</w:t>
      </w:r>
      <w:r>
        <w:rPr>
          <w:rFonts w:ascii="Times New Roman" w:cs="Times New Roman" w:eastAsia="Times New Roman" w:hAnsi="Times New Roman"/>
          <w:sz w:val="18"/>
          <w:szCs w:val="18"/>
          <w:color w:val="080808"/>
        </w:rPr>
        <w:t xml:space="preserve"> </w:t>
      </w:r>
      <w:r>
        <w:rPr>
          <w:rFonts w:ascii="Times New Roman" w:cs="Times New Roman" w:eastAsia="Times New Roman" w:hAnsi="Times New Roman"/>
          <w:sz w:val="18"/>
          <w:szCs w:val="18"/>
          <w:color w:val="000000"/>
        </w:rPr>
        <w:t>allocates resources to the operations of the Company on a total company basis. Managing and allocating resources on a consolidated basis enables the CODM to assess the overall level of resources available and how to best deploy these resources across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functions, therapeutic areas and research and development projects that are in line with the Company’s long-term company wide strategic goals. Consistent with this decision-making process, the CODM uses consolidated net income (loss) for purposes of evaluating performance, forecasting future period financial results, allocating resources and setting incentive targets. Operating expenses are used to monitor budget versus actual results. The measure of segment assets is reported on the balance sheet as total consolidated assets.</w:t>
      </w:r>
    </w:p>
    <w:p>
      <w:pPr>
        <w:spacing w:after="0" w:line="180" w:lineRule="exact"/>
        <w:rPr>
          <w:sz w:val="20"/>
          <w:szCs w:val="20"/>
          <w:color w:val="auto"/>
        </w:rPr>
      </w:pPr>
    </w:p>
    <w:p>
      <w:pPr>
        <w:jc w:val="both"/>
        <w:ind w:right="120" w:firstLine="599"/>
        <w:spacing w:after="0" w:line="266" w:lineRule="auto"/>
        <w:rPr>
          <w:sz w:val="20"/>
          <w:szCs w:val="20"/>
          <w:color w:val="auto"/>
        </w:rPr>
      </w:pPr>
      <w:r>
        <w:rPr>
          <w:rFonts w:ascii="Times New Roman" w:cs="Times New Roman" w:eastAsia="Times New Roman" w:hAnsi="Times New Roman"/>
          <w:sz w:val="18"/>
          <w:szCs w:val="18"/>
          <w:color w:val="auto"/>
        </w:rPr>
        <w:t>The following table is representative of the significant expense categories regularly provided to the CODM when managing the Company’s single reporting segment. A reconciliation to the consolidated net loss for the three months ended March 31, 2026 and 2025 is included at the bottom of the table below (in thousands):</w:t>
      </w:r>
    </w:p>
    <w:p>
      <w:pPr>
        <w:spacing w:after="0" w:line="16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Tegoprubart - kidney transplantation programs</w:t>
            </w:r>
          </w:p>
        </w:tc>
        <w:tc>
          <w:tcPr>
            <w:tcW w:w="960" w:type="dxa"/>
            <w:vAlign w:val="bottom"/>
            <w:gridSpan w:val="2"/>
          </w:tcPr>
          <w:p>
            <w:pPr>
              <w:jc w:val="right"/>
              <w:ind w:right="80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5,414</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8,531</w:t>
            </w: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Tegoprubart - other development programs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Manufacturing</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7,786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1,670</w:t>
            </w:r>
          </w:p>
        </w:tc>
      </w:tr>
      <w:tr>
        <w:trPr>
          <w:trHeight w:val="216"/>
        </w:trPr>
        <w:tc>
          <w:tcPr>
            <w:tcW w:w="77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3,803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3,448</w:t>
            </w: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2,864</w:t>
            </w:r>
          </w:p>
        </w:tc>
      </w:tr>
      <w:tr>
        <w:trPr>
          <w:trHeight w:val="216"/>
        </w:trPr>
        <w:tc>
          <w:tcPr>
            <w:tcW w:w="77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segment items*</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1,976</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1,619</w:t>
            </w:r>
          </w:p>
        </w:tc>
      </w:tr>
      <w:tr>
        <w:trPr>
          <w:trHeight w:val="210"/>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21,181</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17,964</w:t>
            </w: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(17,964)</w:t>
            </w:r>
          </w:p>
        </w:tc>
      </w:tr>
      <w:tr>
        <w:trPr>
          <w:trHeight w:val="216"/>
        </w:trPr>
        <w:tc>
          <w:tcPr>
            <w:tcW w:w="7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1,409</w:t>
            </w:r>
          </w:p>
        </w:tc>
      </w:tr>
      <w:tr>
        <w:trPr>
          <w:trHeight w:val="216"/>
        </w:trPr>
        <w:tc>
          <w:tcPr>
            <w:tcW w:w="77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(18,962)</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10,060</w:t>
            </w: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80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(39,025)</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w:t>
            </w:r>
          </w:p>
        </w:tc>
      </w:tr>
      <w:tr>
        <w:trPr>
          <w:trHeight w:val="20"/>
        </w:trPr>
        <w:tc>
          <w:tcPr>
            <w:tcW w:w="7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-736600</wp:posOffset>
            </wp:positionV>
            <wp:extent cx="1200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120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8" w:lineRule="exact"/>
        <w:rPr>
          <w:sz w:val="20"/>
          <w:szCs w:val="20"/>
          <w:color w:val="auto"/>
        </w:rPr>
      </w:pPr>
    </w:p>
    <w:p>
      <w:pPr>
        <w:ind w:right="700" w:firstLine="8"/>
        <w:spacing w:after="0" w:line="284" w:lineRule="auto"/>
        <w:tabs>
          <w:tab w:leader="none" w:pos="13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segment items included in total operating expenses primarily consist of consulting, professional fees, facilities, insurance and information technology.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121" w:lineRule="exact"/>
        <w:rPr>
          <w:sz w:val="20"/>
          <w:szCs w:val="20"/>
          <w:color w:val="auto"/>
        </w:rPr>
      </w:pPr>
    </w:p>
    <w:p>
      <w:pPr>
        <w:ind w:right="200" w:firstLine="599"/>
        <w:spacing w:after="0" w:line="258" w:lineRule="auto"/>
        <w:rPr>
          <w:sz w:val="20"/>
          <w:szCs w:val="20"/>
          <w:color w:val="auto"/>
        </w:rPr>
      </w:pPr>
      <w:r>
        <w:rPr>
          <w:rFonts w:ascii="Times New Roman" w:cs="Times New Roman" w:eastAsia="Times New Roman" w:hAnsi="Times New Roman"/>
          <w:sz w:val="18"/>
          <w:szCs w:val="18"/>
          <w:color w:val="auto"/>
        </w:rPr>
        <w:t>Amounts allocated to in-process research and development (“IPR&amp;D”) in connection with a business combination are recorded at fair value and are considered indefinite-lived intangible assets until completion or abandonment of the associated research and development efforts. If and when development is complete, which generally occurs when regulatory approval to market a product is obtained, the associated assets are deemed finite-lived and amortized over a period that best reflects the economic benefits provided by these assets. During the period the assets are considered indefinite-lived, they will not be amortized but will be tested annually for impairment or more frequently if indicators of impairment exist.</w:t>
      </w:r>
    </w:p>
    <w:p>
      <w:pPr>
        <w:spacing w:after="0" w:line="116" w:lineRule="exact"/>
        <w:rPr>
          <w:sz w:val="20"/>
          <w:szCs w:val="20"/>
          <w:color w:val="auto"/>
        </w:rPr>
      </w:pPr>
    </w:p>
    <w:p>
      <w:pPr>
        <w:ind w:right="40" w:firstLine="599"/>
        <w:spacing w:after="0" w:line="255" w:lineRule="auto"/>
        <w:rPr>
          <w:sz w:val="20"/>
          <w:szCs w:val="20"/>
          <w:color w:val="auto"/>
        </w:rPr>
      </w:pPr>
      <w:r>
        <w:rPr>
          <w:rFonts w:ascii="Times New Roman" w:cs="Times New Roman" w:eastAsia="Times New Roman" w:hAnsi="Times New Roman"/>
          <w:sz w:val="18"/>
          <w:szCs w:val="18"/>
          <w:color w:val="auto"/>
        </w:rPr>
        <w:t>The Company first assesses qualitative factors to determine whether it is more likely than not that the fair value of the IPR&amp;D is less than its carrying amount as a basis for determining whether it is necessary to perform a quantitative assessment. If, after assessing qualitative factors, the Company determines it is not more likely than not that the fair value is less than its carrying amount, then a quantitative assessment is unnecessary. If the quantitative assessment is deemed necessary, the excess of the carrying value over fair value will be recorded as an impairment. The qualitative assessment focuses on the key inputs, assumptions and rationale utilized in the establishment of the carrying value and related changes since the last quantitative assessment. Based on the results of the Company’s annual qualitative assessment, the Company concluded that it is not more likely than not that IPR&amp;D was impaired for any of the periods presented.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59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include personnel and facility-related expenses, outside contracted services including clinical trial costs, manufacturing and process development costs, research costs and other consulting services and non-cash stock-based compensation. Research and development costs are expensed as incurred. Amounts due under contracts with third parties may be either fixed fee or fee for service, and may include upfront payments, monthly payments and payments upon the completion of milestones or receipt of deliverables. Non-refundable advance payments under agreements are capitalized and expensed as the related goods are delivered or services are performed.</w:t>
      </w:r>
    </w:p>
    <w:p>
      <w:pPr>
        <w:spacing w:after="0" w:line="183" w:lineRule="exact"/>
        <w:rPr>
          <w:sz w:val="20"/>
          <w:szCs w:val="20"/>
          <w:color w:val="auto"/>
        </w:rPr>
      </w:pPr>
    </w:p>
    <w:p>
      <w:pPr>
        <w:ind w:right="620" w:firstLine="599"/>
        <w:spacing w:after="0" w:line="282" w:lineRule="auto"/>
        <w:rPr>
          <w:sz w:val="20"/>
          <w:szCs w:val="20"/>
          <w:color w:val="auto"/>
        </w:rPr>
      </w:pPr>
      <w:r>
        <w:rPr>
          <w:rFonts w:ascii="Times New Roman" w:cs="Times New Roman" w:eastAsia="Times New Roman" w:hAnsi="Times New Roman"/>
          <w:sz w:val="18"/>
          <w:szCs w:val="18"/>
          <w:color w:val="auto"/>
        </w:rPr>
        <w:t>The Company contracts with third parties to perform various clinical trial activities in the on-going development of potential products. The financial terms of these agreements are subject to negotiation, vary from contract to contract and may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result in uneven payment flows to its vendors. Payments under the contracts depend on factors such as the achievement of certain events, successful enrollment of patients, and completion of portions of the clinical trial or similar conditions. The Company’s accrual for clinical trials is based on estimates of the services received and efforts expended pursuant to contracts with clinical trial centers and clinical research organizations. These contracts may be terminated by the Company upon written notice and the Company is generally only liable for actual effort expended by the organizations to the date of termination, although in certain instances the Company may be further responsible for termination fees and penalties. The Company estimates its research and development expenses and the related accrual as of each balance sheet date based on the facts and circumstances known to the Company at that time.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 recognizes compensation expense for all stock-based awards based on the grant-date estimated fair value.</w:t>
      </w:r>
    </w:p>
    <w:p>
      <w:pPr>
        <w:spacing w:after="0" w:line="225" w:lineRule="exact"/>
        <w:rPr>
          <w:sz w:val="20"/>
          <w:szCs w:val="20"/>
          <w:color w:val="auto"/>
        </w:rPr>
      </w:pPr>
    </w:p>
    <w:p>
      <w:pPr>
        <w:ind w:right="20" w:firstLine="599"/>
        <w:spacing w:after="0" w:line="253" w:lineRule="auto"/>
        <w:rPr>
          <w:sz w:val="20"/>
          <w:szCs w:val="20"/>
          <w:color w:val="auto"/>
        </w:rPr>
      </w:pPr>
      <w:r>
        <w:rPr>
          <w:rFonts w:ascii="Times New Roman" w:cs="Times New Roman" w:eastAsia="Times New Roman" w:hAnsi="Times New Roman"/>
          <w:sz w:val="18"/>
          <w:szCs w:val="18"/>
          <w:color w:val="auto"/>
        </w:rPr>
        <w:t>The fair value of stock options is determined using the Black-Scholes option pricing model, using assumptions which are subjective and require significant judgment and estimation by management. The risk-free rate assumption was based on observed yields from governmental zero-coupon bonds with an equivalent term. The expected volatility assumption was based on historical volatilities of a group of comparable industry companies whose share prices are publicly available. The peer group was developed based on publicly traded biotechnology and pharmaceutical companies with comparable business characteristics, clinical stages of development, and organizational scale, including employee headcount, primarily consisting of companies with Phase II or Phase III clinical programs. The expected term of stock options represents the weighted-average period that the stock options are expected to be outstanding. Because the Company does not have historical exercise behavior, the Company determined the expected life assumption using the simplified method for stock options granted to employees, which is an average of the options ordinary vesting period and the contractual term. The expected dividend assumption was based on the Company’s history and expectation of dividend payouts. The Company has not paid and does not expect to pay dividends at any time in the foreseeable future. The Company recognizes forfeitures on an actual basis and as such did not estimate forfeitures to calculate stock-based compensation.</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Restricted Stock Units (“RSUs”) are measured and recognized based on the quoted market price of our common stock on the date of grant.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right="40" w:firstLine="599"/>
        <w:spacing w:after="0" w:line="266" w:lineRule="auto"/>
        <w:rPr>
          <w:sz w:val="20"/>
          <w:szCs w:val="20"/>
          <w:color w:val="auto"/>
        </w:rPr>
      </w:pPr>
      <w:r>
        <w:rPr>
          <w:rFonts w:ascii="Times New Roman" w:cs="Times New Roman" w:eastAsia="Times New Roman" w:hAnsi="Times New Roman"/>
          <w:sz w:val="18"/>
          <w:szCs w:val="18"/>
          <w:color w:val="auto"/>
        </w:rPr>
        <w:t>The Company maintains a defined contribution retirement savings plan under Section 401(k) of the Internal Revenue Code covering all employees who meet eligibility requirements. Participants may contribute a portion of their compensation subject to IRS limitations. The Company provides matching contributions in accordance with the terms of the plan.</w:t>
      </w:r>
    </w:p>
    <w:p>
      <w:pPr>
        <w:spacing w:after="0" w:line="176" w:lineRule="exact"/>
        <w:rPr>
          <w:sz w:val="20"/>
          <w:szCs w:val="20"/>
          <w:color w:val="auto"/>
        </w:rPr>
      </w:pPr>
    </w:p>
    <w:p>
      <w:pPr>
        <w:jc w:val="both"/>
        <w:ind w:right="40" w:firstLine="599"/>
        <w:spacing w:after="0" w:line="282" w:lineRule="auto"/>
        <w:rPr>
          <w:sz w:val="20"/>
          <w:szCs w:val="20"/>
          <w:color w:val="auto"/>
        </w:rPr>
      </w:pPr>
      <w:r>
        <w:rPr>
          <w:rFonts w:ascii="Times New Roman" w:cs="Times New Roman" w:eastAsia="Times New Roman" w:hAnsi="Times New Roman"/>
          <w:sz w:val="18"/>
          <w:szCs w:val="18"/>
          <w:color w:val="auto"/>
        </w:rPr>
        <w:t>The Company recognized expense related to employer contributions to the plan of $0.1 million for each of the three months ended March 31, 2026 and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60" w:firstLine="599"/>
        <w:spacing w:after="0" w:line="242" w:lineRule="auto"/>
        <w:rPr>
          <w:sz w:val="20"/>
          <w:szCs w:val="20"/>
          <w:color w:val="auto"/>
        </w:rPr>
      </w:pPr>
      <w:r>
        <w:rPr>
          <w:rFonts w:ascii="Times New Roman" w:cs="Times New Roman" w:eastAsia="Times New Roman" w:hAnsi="Times New Roman"/>
          <w:sz w:val="18"/>
          <w:szCs w:val="18"/>
          <w:color w:val="auto"/>
        </w:rPr>
        <w:t>Basic and diluted net loss per share are calculated using the two-class method in accordance with Accounting Standards Codification (“ASC”) Topic 260, Earnings Per Share. The two-class method allocates undistributed losses to the Company’s outstanding common stock, and the Series X and Series X</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non-voting convertible preferred stock, $0.001 par value (the “Preferred Stock”), based on each class’s proportionate share of the total weighted-average shares outstanding. Since the Company has never declared dividends, net loss and undistributed losses are equivalent. The process is used for both common stock and Preferred Stock.</w:t>
      </w:r>
    </w:p>
    <w:p>
      <w:pPr>
        <w:spacing w:after="0" w:line="129" w:lineRule="exact"/>
        <w:rPr>
          <w:sz w:val="20"/>
          <w:szCs w:val="20"/>
          <w:color w:val="auto"/>
        </w:rPr>
      </w:pPr>
    </w:p>
    <w:p>
      <w:pPr>
        <w:ind w:firstLine="599"/>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attributable to common stockholders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securities outstanding for the period determined using the treasury-stock and if-converted methods. As the rights and preferences of the Preferred Stock are substantially identical to each other, they are considered a single class of common stock for earnings per share purposes.</w:t>
      </w:r>
    </w:p>
    <w:p>
      <w:pPr>
        <w:spacing w:after="0" w:line="183" w:lineRule="exact"/>
        <w:rPr>
          <w:sz w:val="20"/>
          <w:szCs w:val="20"/>
          <w:color w:val="auto"/>
        </w:rPr>
      </w:pPr>
    </w:p>
    <w:p>
      <w:pPr>
        <w:ind w:firstLine="599"/>
        <w:spacing w:after="0" w:line="266" w:lineRule="auto"/>
        <w:rPr>
          <w:sz w:val="20"/>
          <w:szCs w:val="20"/>
          <w:color w:val="auto"/>
        </w:rPr>
      </w:pPr>
      <w:r>
        <w:rPr>
          <w:rFonts w:ascii="Times New Roman" w:cs="Times New Roman" w:eastAsia="Times New Roman" w:hAnsi="Times New Roman"/>
          <w:sz w:val="18"/>
          <w:szCs w:val="18"/>
          <w:color w:val="auto"/>
        </w:rPr>
        <w:t>For purposes of the diluted net loss per share calculation, incentive stock options, restricted stock units and warrants are considered to be potentially dilutive securities and are excluded from the calculation of diluted net loss per share because their effect would be anti-dilutive. Therefore, basic and diluted net loss per share was the same for the periods presented due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the Company’s net loss position. Basic weighted average shares outstanding for the three months ended March 31, 2026 and 2025 include 36,629,572 and 17,274,293 respectively, shares underlying pre-funded warrants to purchase common shares. As the shares underlying these pre-funded warrants can be issued for little consideration (an exercise price per share equal to $0.001 per share), these shares are deemed to be issued for purposes of basic earnings per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 and Pre-Funded Warrants</w:t>
      </w:r>
    </w:p>
    <w:p>
      <w:pPr>
        <w:spacing w:after="0" w:line="121" w:lineRule="exact"/>
        <w:rPr>
          <w:sz w:val="20"/>
          <w:szCs w:val="20"/>
          <w:color w:val="auto"/>
        </w:rPr>
      </w:pPr>
    </w:p>
    <w:p>
      <w:pPr>
        <w:ind w:right="20" w:firstLine="599"/>
        <w:spacing w:after="0" w:line="253" w:lineRule="auto"/>
        <w:rPr>
          <w:sz w:val="20"/>
          <w:szCs w:val="20"/>
          <w:color w:val="auto"/>
        </w:rPr>
      </w:pPr>
      <w:r>
        <w:rPr>
          <w:rFonts w:ascii="Times New Roman" w:cs="Times New Roman" w:eastAsia="Times New Roman" w:hAnsi="Times New Roman"/>
          <w:sz w:val="18"/>
          <w:szCs w:val="18"/>
          <w:color w:val="auto"/>
        </w:rPr>
        <w:t>The Company accounts for issued common stock warrants and pre-funded warrants either as a liability or equity in accordance with ASC 480-10, Distinguishing Liabilities from Equity (“ASC 480-10”) and ASC 815-40, Derivatives and Hedging — Contracts in Entity’s Own Equity (“ASC 815-40”). The Company first evaluates the warrants under ASC 480-10 to determine whether the instruments should be classified as liabilities, including whether the warrants embody an obligation to repurchase the Company’s shares, require or may require cash settlement, or represent obligations to issue a variable number of shares with a monetary value that is fixed or indexed to something other than the Company’s stock. If liability classification is not required under ASC 480-10, the Company then applies ASC 815-40. Under ASC 815-40, contracts that may require settlement for cash are liabilities, regardless of the probability of the occurrence of the triggering event. Liability-classified warrants are measured at fair value on the issuance date and at the end of each reporting period. Any change in the fair value of the warrants after the issuance date is recorded in the consolidated statements of operations and comprehensive loss as a gain or loss. If warrants do not require liability classification under ASC 815-40, in order to conclude warrants should be classified as equity, the Company assesses whether the warrants are indexed to its common stock and whether the warrants are classified as equity under ASC 815-40 or other applicable GAAP standard. Equity-classified warrants are accounted for at fair value on the issuance date with no changes in fair value recognized after the issuance date.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Issued But Not Adopted</w:t>
      </w:r>
    </w:p>
    <w:p>
      <w:pPr>
        <w:spacing w:after="0" w:line="121"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2024-03, “Income Statement—Reporting Comprehensive Income—Expense Disaggregation Disclosures (Subtopic 220-40) Disaggregation of Income Statement Expenses,” which requires disaggregated disclosure of income statement expenses for public business entities (“PBEs”). In January 2025, the FASB issued ASU No. 2025-01 “Income Statement—Reporting Comprehensive Income—Expense Disaggregation Disclosures (Subtopic 220-40),” which clarified the effective date for ASU 2024-03. These amendments are intended to provide more information about types of expenses in commonly presented expense captions. The amendments in this update are effective for annual periods beginning after December 15, 2026, and interim periods within fiscal years beginning after December 15, 2027, and early adoption is permitted. The Company is currently evaluating the impact on its consolidated financial statements and related disclosures.</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September 2025, the FASB issued ASU 2025-07, Derivatives and Hedging (Topic 815) and Revenue from Contracts with Customers (Topic</w:t>
      </w:r>
    </w:p>
    <w:p>
      <w:pPr>
        <w:spacing w:after="0" w:line="27" w:lineRule="exact"/>
        <w:rPr>
          <w:sz w:val="20"/>
          <w:szCs w:val="20"/>
          <w:color w:val="auto"/>
        </w:rPr>
      </w:pPr>
    </w:p>
    <w:p>
      <w:pPr>
        <w:ind w:right="40" w:firstLine="8"/>
        <w:spacing w:after="0" w:line="255" w:lineRule="auto"/>
        <w:tabs>
          <w:tab w:leader="none" w:pos="3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 2025-07”), which amends the accounting guidance to exclude from derivative accounting non-exchange-traded contracts with underlyings that are based on operations or activities specific to one of the parties to the contract. ASU 2025-07 is effective for fiscal years beginning after December 15, 2026, with early adoption permitted. The Company is currently evaluating the impact on its consolidated financial statements and related disclosures</w:t>
      </w:r>
    </w:p>
    <w:p>
      <w:pPr>
        <w:spacing w:after="0" w:line="186" w:lineRule="exact"/>
        <w:rPr>
          <w:sz w:val="20"/>
          <w:szCs w:val="20"/>
          <w:color w:val="auto"/>
        </w:rPr>
      </w:pPr>
    </w:p>
    <w:p>
      <w:pPr>
        <w:jc w:val="both"/>
        <w:ind w:right="460" w:firstLine="599"/>
        <w:spacing w:after="0" w:line="266"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the American Institute of Certified Public Accountants, and the SEC did not, or are not believed by management to, have a material impact on the Company’s present or future financial position, results of operations or cash flows.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Short-Term Investments</w:t>
      </w:r>
    </w:p>
    <w:p>
      <w:pPr>
        <w:spacing w:after="0" w:line="121"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auto"/>
        </w:rPr>
        <w:t xml:space="preserve">The objectives of the Company’s investment policy are to preserve principal, meet the Company’s liquidity requirements and safeguard invested funds. Short-term investments consist of U.S. </w:t>
      </w:r>
      <w:r>
        <w:rPr>
          <w:rFonts w:ascii="Times New Roman" w:cs="Times New Roman" w:eastAsia="Times New Roman" w:hAnsi="Times New Roman"/>
          <w:sz w:val="18"/>
          <w:szCs w:val="18"/>
          <w:color w:val="080808"/>
        </w:rPr>
        <w:t>treasuries</w:t>
      </w:r>
      <w:r>
        <w:rPr>
          <w:rFonts w:ascii="Times New Roman" w:cs="Times New Roman" w:eastAsia="Times New Roman" w:hAnsi="Times New Roman"/>
          <w:sz w:val="18"/>
          <w:szCs w:val="18"/>
          <w:color w:val="auto"/>
        </w:rPr>
        <w:t xml:space="preserve"> and U.S. government securities. The Company has classified these investments as available-for-sale securities, as the sale of such investments may be required prior to maturity to implement management strategies, and therefore has classified all investments with maturity dates beyond three months at the date of purchase as current assets in the accompanying unaudited condensed consolidated balance sheets. Any premium or discount arising at purchase is amortized and/or accreted to interest income as an adjustment to yield using the straight-line method over the life of the instrument. The amortized cost of available-for-sale securities is adjusted for amortization of premiums and accretion of discounts to maturity. Investments are reported at their estimated fair value. Unrealized gains and losses are included in accumulated other comprehensive loss as a component of stockholders' equity until realized.</w:t>
      </w:r>
    </w:p>
    <w:p>
      <w:pPr>
        <w:spacing w:after="0" w:line="192" w:lineRule="exact"/>
        <w:rPr>
          <w:sz w:val="20"/>
          <w:szCs w:val="20"/>
          <w:color w:val="auto"/>
        </w:rPr>
      </w:pPr>
    </w:p>
    <w:p>
      <w:pPr>
        <w:ind w:right="180" w:firstLine="599"/>
        <w:spacing w:after="0" w:line="282" w:lineRule="auto"/>
        <w:rPr>
          <w:sz w:val="20"/>
          <w:szCs w:val="20"/>
          <w:color w:val="auto"/>
        </w:rPr>
      </w:pPr>
      <w:r>
        <w:rPr>
          <w:rFonts w:ascii="Times New Roman" w:cs="Times New Roman" w:eastAsia="Times New Roman" w:hAnsi="Times New Roman"/>
          <w:sz w:val="18"/>
          <w:szCs w:val="18"/>
          <w:color w:val="auto"/>
        </w:rPr>
        <w:t>The following is a summary of short-term investments, which were classified as available-for-sale securities as of March 31, 2026 and December 31, 2025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52,609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52,574</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52,399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52,363</w:t>
            </w:r>
          </w:p>
        </w:tc>
        <w:tc>
          <w:tcPr>
            <w:tcW w:w="0" w:type="dxa"/>
            <w:vAlign w:val="bottom"/>
          </w:tcPr>
          <w:p>
            <w:pPr>
              <w:spacing w:after="0"/>
              <w:rPr>
                <w:sz w:val="1"/>
                <w:szCs w:val="1"/>
                <w:color w:val="auto"/>
              </w:rPr>
            </w:pPr>
          </w:p>
        </w:tc>
      </w:tr>
      <w:tr>
        <w:trPr>
          <w:trHeight w:val="229"/>
        </w:trPr>
        <w:tc>
          <w:tcPr>
            <w:tcW w:w="45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105,008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104,937</w:t>
            </w: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10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59,839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59,861</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50,667</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50,667</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110,506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110,528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-993775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-976630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-993775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-976630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-993775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-976630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-170815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-170815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All of the Company’s available-for-sale securities have a stated maturity of less than one year.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Financial assets and liabilities are recorded at fair value.</w:t>
      </w:r>
    </w:p>
    <w:p>
      <w:pPr>
        <w:spacing w:after="0" w:line="225" w:lineRule="exact"/>
        <w:rPr>
          <w:sz w:val="20"/>
          <w:szCs w:val="20"/>
          <w:color w:val="auto"/>
        </w:rPr>
      </w:pPr>
    </w:p>
    <w:p>
      <w:pPr>
        <w:ind w:right="100" w:firstLine="599"/>
        <w:spacing w:after="0" w:line="266" w:lineRule="auto"/>
        <w:rPr>
          <w:sz w:val="20"/>
          <w:szCs w:val="20"/>
          <w:color w:val="auto"/>
        </w:rPr>
      </w:pPr>
      <w:r>
        <w:rPr>
          <w:rFonts w:ascii="Times New Roman" w:cs="Times New Roman" w:eastAsia="Times New Roman" w:hAnsi="Times New Roman"/>
          <w:sz w:val="18"/>
          <w:szCs w:val="18"/>
          <w:color w:val="auto"/>
        </w:rPr>
        <w:t>The Company classifies fair value measurements using a three-level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68"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market prices (unadjusted) in active markets for identical assets and liabilities.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market prices included in Level 1, such as quoted market prices for markets that are not active or other inputs that are observable or can be corroborated by observable market data.</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 These fair values are obtained from independent pricing services which utilize Level 1 and Level 2 inputs.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p>
      <w:pPr>
        <w:spacing w:after="0" w:line="121" w:lineRule="exact"/>
        <w:rPr>
          <w:sz w:val="20"/>
          <w:szCs w:val="20"/>
          <w:color w:val="auto"/>
        </w:rPr>
      </w:pPr>
    </w:p>
    <w:p>
      <w:pPr>
        <w:ind w:right="140" w:firstLine="59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 instruments measured at fair value on a recurring basis as of March 31, 2026 and December 31, 2025 (in thousands). Included within cash and cash equivalents on the unaudited condensed consolidated balance sheets, but excluded from the fair value hierarchy table, are cash deposits held at financial institutions.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210"/>
        </w:trPr>
        <w:tc>
          <w:tcPr>
            <w:tcW w:w="44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5,222</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5,222</w:t>
            </w: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0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5,222</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5,222</w:t>
            </w:r>
          </w:p>
        </w:tc>
      </w:tr>
      <w:tr>
        <w:trPr>
          <w:trHeight w:val="210"/>
        </w:trPr>
        <w:tc>
          <w:tcPr>
            <w:tcW w:w="44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treasuries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52,574</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52,574</w:t>
            </w:r>
          </w:p>
        </w:tc>
      </w:tr>
      <w:tr>
        <w:trPr>
          <w:trHeight w:val="216"/>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52,363</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52,363</w:t>
            </w:r>
          </w:p>
        </w:tc>
      </w:tr>
      <w:tr>
        <w:trPr>
          <w:trHeight w:val="209"/>
        </w:trPr>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0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104,937</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104,937</w:t>
            </w:r>
          </w:p>
        </w:tc>
      </w:tr>
      <w:tr>
        <w:trPr>
          <w:trHeight w:val="210"/>
        </w:trPr>
        <w:tc>
          <w:tcPr>
            <w:tcW w:w="44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2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5,222</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104,937</w:t>
            </w:r>
          </w:p>
        </w:tc>
        <w:tc>
          <w:tcPr>
            <w:tcW w:w="12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110,159</w:t>
            </w: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r>
        <w:trPr>
          <w:trHeight w:val="669"/>
        </w:trPr>
        <w:tc>
          <w:tcPr>
            <w:tcW w:w="44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10"/>
        </w:trPr>
        <w:tc>
          <w:tcPr>
            <w:tcW w:w="44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425"/>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6,734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6,734</w:t>
            </w:r>
          </w:p>
        </w:tc>
      </w:tr>
      <w:tr>
        <w:trPr>
          <w:trHeight w:val="216"/>
        </w:trPr>
        <w:tc>
          <w:tcPr>
            <w:tcW w:w="44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treasuries</w:t>
            </w:r>
          </w:p>
        </w:tc>
        <w:tc>
          <w:tcPr>
            <w:tcW w:w="10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14,955</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14,955</w:t>
            </w: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6,734</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14,955</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21,689</w:t>
            </w:r>
          </w:p>
        </w:tc>
      </w:tr>
      <w:tr>
        <w:trPr>
          <w:trHeight w:val="209"/>
        </w:trPr>
        <w:tc>
          <w:tcPr>
            <w:tcW w:w="4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treasuries</w:t>
            </w:r>
          </w:p>
        </w:tc>
        <w:tc>
          <w:tcPr>
            <w:tcW w:w="10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59,861</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59,861</w:t>
            </w:r>
          </w:p>
        </w:tc>
      </w:tr>
      <w:tr>
        <w:trPr>
          <w:trHeight w:val="216"/>
        </w:trPr>
        <w:tc>
          <w:tcPr>
            <w:tcW w:w="44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50,667</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50,667</w:t>
            </w: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110,528</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110,528</w:t>
            </w:r>
          </w:p>
        </w:tc>
      </w:tr>
      <w:tr>
        <w:trPr>
          <w:trHeight w:val="23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6,734</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125,483</w:t>
            </w:r>
          </w:p>
        </w:tc>
        <w:tc>
          <w:tcPr>
            <w:tcW w:w="12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132,217</w:t>
            </w: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3867150</wp:posOffset>
            </wp:positionH>
            <wp:positionV relativeFrom="paragraph">
              <wp:posOffset>-3475355</wp:posOffset>
            </wp:positionV>
            <wp:extent cx="102235"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-3475355</wp:posOffset>
            </wp:positionV>
            <wp:extent cx="102870"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-3475355</wp:posOffset>
            </wp:positionV>
            <wp:extent cx="93980" cy="179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-2614295</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-2614295</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-2614295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-2322195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-2305050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-2322195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-2305050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-2322195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-2305050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-1019175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-1019175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-1019175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-316865</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-316865</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-316865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19" w:lineRule="exact"/>
        <w:rPr>
          <w:sz w:val="20"/>
          <w:szCs w:val="20"/>
          <w:color w:val="auto"/>
        </w:rPr>
      </w:pPr>
    </w:p>
    <w:p>
      <w:pPr>
        <w:jc w:val="both"/>
        <w:ind w:right="180" w:firstLine="599"/>
        <w:spacing w:after="0" w:line="267" w:lineRule="auto"/>
        <w:rPr>
          <w:sz w:val="20"/>
          <w:szCs w:val="20"/>
          <w:color w:val="auto"/>
        </w:rPr>
      </w:pPr>
      <w:r>
        <w:rPr>
          <w:rFonts w:ascii="Times New Roman" w:cs="Times New Roman" w:eastAsia="Times New Roman" w:hAnsi="Times New Roman"/>
          <w:sz w:val="18"/>
          <w:szCs w:val="18"/>
          <w:color w:val="auto"/>
        </w:rPr>
        <w:t xml:space="preserve">The following table summarizes the Company’s warrant liabilities (see </w:t>
      </w:r>
      <w:r>
        <w:rPr>
          <w:rFonts w:ascii="Times New Roman" w:cs="Times New Roman" w:eastAsia="Times New Roman" w:hAnsi="Times New Roman"/>
          <w:sz w:val="18"/>
          <w:szCs w:val="18"/>
          <w:i w:val="1"/>
          <w:iCs w:val="1"/>
          <w:color w:val="auto"/>
        </w:rPr>
        <w:t>Note 8. Preferred Stock and Stockholders’ Equity</w:t>
      </w:r>
      <w:r>
        <w:rPr>
          <w:rFonts w:ascii="Times New Roman" w:cs="Times New Roman" w:eastAsia="Times New Roman" w:hAnsi="Times New Roman"/>
          <w:sz w:val="18"/>
          <w:szCs w:val="18"/>
          <w:color w:val="auto"/>
        </w:rPr>
        <w:t>) measured at fair value on a recurring basis as of March 31, 2026 and December 31, 2025 (in thousands) and was based on significant inputs not observable in the market, which represents a Level 3 measurement within the fair value hierarchy.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10"/>
        </w:trPr>
        <w:tc>
          <w:tcPr>
            <w:tcW w:w="5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30,378</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30,378</w:t>
            </w:r>
          </w:p>
        </w:tc>
      </w:tr>
      <w:tr>
        <w:trPr>
          <w:trHeight w:val="513"/>
        </w:trPr>
        <w:tc>
          <w:tcPr>
            <w:tcW w:w="5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09"/>
        </w:trPr>
        <w:tc>
          <w:tcPr>
            <w:tcW w:w="5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11,416</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11,416</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provides a roll-forward of the aggregate fair value of the warrant liability categorized with Level 3 inputs (in thousands):</w:t>
      </w:r>
    </w:p>
    <w:p>
      <w:pPr>
        <w:spacing w:after="0" w:line="217"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b w:val="1"/>
          <w:bCs w:val="1"/>
          <w:color w:val="auto"/>
        </w:rPr>
        <w:t>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7620</wp:posOffset>
            </wp:positionV>
            <wp:extent cx="17659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Change in fair value of warrant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March 31, 2026</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right"/>
              <w:ind w:right="9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11,416</w:t>
            </w:r>
          </w:p>
        </w:tc>
      </w:tr>
      <w:tr>
        <w:trPr>
          <w:trHeight w:val="234"/>
        </w:trPr>
        <w:tc>
          <w:tcPr>
            <w:tcW w:w="1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18,962</w:t>
            </w:r>
          </w:p>
        </w:tc>
      </w:tr>
      <w:tr>
        <w:trPr>
          <w:trHeight w:val="210"/>
        </w:trPr>
        <w:tc>
          <w:tcPr>
            <w:tcW w:w="112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30,378</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740" w:space="720"/>
            <w:col w:w="2780"/>
          </w:cols>
          <w:pgMar w:left="320" w:top="117" w:right="339" w:bottom="1440" w:gutter="0" w:footer="0" w:header="0"/>
          <w:type w:val="continuous"/>
        </w:sectPr>
      </w:pPr>
    </w:p>
    <w:p>
      <w:pPr>
        <w:ind w:right="180" w:firstLine="599"/>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of $19.0 million was recorded in the unaudited condensed consolidated statement of operations and comprehensive loss for the three months ended March 31,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Prepaid Expenses and Other Current Assets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March 31, 2026 and December 31, 2025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60" w:type="dxa"/>
            <w:vAlign w:val="bottom"/>
          </w:tcPr>
          <w:p>
            <w:pPr>
              <w:spacing w:after="0"/>
              <w:rPr>
                <w:sz w:val="15"/>
                <w:szCs w:val="15"/>
                <w:color w:val="auto"/>
              </w:rPr>
            </w:pPr>
          </w:p>
        </w:tc>
        <w:tc>
          <w:tcPr>
            <w:tcW w:w="32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5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clinical</w:t>
            </w:r>
          </w:p>
        </w:tc>
        <w:tc>
          <w:tcPr>
            <w:tcW w:w="328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824</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manufacturing</w:t>
            </w:r>
          </w:p>
        </w:tc>
        <w:tc>
          <w:tcPr>
            <w:tcW w:w="2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Prepaid other</w:t>
            </w:r>
          </w:p>
        </w:tc>
        <w:tc>
          <w:tcPr>
            <w:tcW w:w="2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receivable</w:t>
            </w:r>
          </w:p>
        </w:tc>
        <w:tc>
          <w:tcPr>
            <w:tcW w:w="2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514</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1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28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2,485</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2,352</w:t>
            </w: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Accrued Expenses and Other Liabilities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 as of March 31, 2026 and December 31, 2025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7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w:t>
            </w:r>
          </w:p>
        </w:tc>
        <w:tc>
          <w:tcPr>
            <w:tcW w:w="1120" w:type="dxa"/>
            <w:vAlign w:val="bottom"/>
            <w:shd w:val="clear" w:color="auto" w:fill="CFF0FC"/>
          </w:tcPr>
          <w:p>
            <w:pPr>
              <w:jc w:val="right"/>
              <w:ind w:right="96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8"/>
              </w:rPr>
              <w:t>3,787</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6,531</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1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1,643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4,176</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manufacturing</w:t>
            </w:r>
          </w:p>
        </w:tc>
        <w:tc>
          <w:tcPr>
            <w:tcW w:w="1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763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2,525</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12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1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632</w:t>
            </w: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1120" w:type="dxa"/>
            <w:vAlign w:val="bottom"/>
          </w:tcPr>
          <w:p>
            <w:pPr>
              <w:jc w:val="right"/>
              <w:ind w:right="96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6,504</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14,359</w:t>
            </w:r>
          </w:p>
        </w:tc>
      </w:tr>
      <w:tr>
        <w:trPr>
          <w:trHeight w:val="20"/>
        </w:trPr>
        <w:tc>
          <w:tcPr>
            <w:tcW w:w="77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200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Obligations</w:t>
      </w:r>
    </w:p>
    <w:p>
      <w:pPr>
        <w:spacing w:after="0" w:line="121" w:lineRule="exact"/>
        <w:rPr>
          <w:sz w:val="20"/>
          <w:szCs w:val="20"/>
          <w:color w:val="auto"/>
        </w:rPr>
      </w:pPr>
    </w:p>
    <w:p>
      <w:pPr>
        <w:ind w:right="20" w:firstLine="599"/>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has non-cancelable purchase obligations related to manufacturing totaling $4.4 million. The Company expects to fulfill its commitments within the next twelve months under these agreements in the normal course of business, therefore, no related liability has been recorded on the unaudited condensed consolidated balance sheets as of that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220" w:firstLine="599"/>
        <w:spacing w:after="0" w:line="282" w:lineRule="auto"/>
        <w:rPr>
          <w:sz w:val="20"/>
          <w:szCs w:val="20"/>
          <w:color w:val="auto"/>
        </w:rPr>
      </w:pPr>
      <w:r>
        <w:rPr>
          <w:rFonts w:ascii="Times New Roman" w:cs="Times New Roman" w:eastAsia="Times New Roman" w:hAnsi="Times New Roman"/>
          <w:sz w:val="18"/>
          <w:szCs w:val="18"/>
          <w:color w:val="auto"/>
        </w:rPr>
        <w:t>The Company leases office space under various operating leases. Total rent expense for all operating leases in the accompanying unaudited condensed consolidated statements of operations and comprehensive loss was $0.1 million for each of the three months ended March 31, 2026 and 2025.</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599"/>
        <w:spacing w:after="0" w:line="261" w:lineRule="auto"/>
        <w:rPr>
          <w:sz w:val="20"/>
          <w:szCs w:val="20"/>
          <w:color w:val="auto"/>
        </w:rPr>
      </w:pPr>
      <w:r>
        <w:rPr>
          <w:rFonts w:ascii="Times New Roman" w:cs="Times New Roman" w:eastAsia="Times New Roman" w:hAnsi="Times New Roman"/>
          <w:sz w:val="18"/>
          <w:szCs w:val="18"/>
          <w:color w:val="auto"/>
        </w:rPr>
        <w:t>On April 19, 2024, the Company entered into a 38-month operating lease for 5,817 square feet of office space in Irvine, California, that expires on June 30, 2027 (the “Irvine Lease Agreement”). On April 19, 2024, in conjunction with the Irvine Lease Agreement, the Company terminated an existing operating lease for 5,197 square feet of office space in Irvine, California, that was set to expire on December 31, 2024. On April 19, 2024, the effective date of the Irvine Lease Agreement, the Company recognized additional net ROU assets and lease liabilities in the amount of $0.5 million.</w:t>
      </w:r>
    </w:p>
    <w:p>
      <w:pPr>
        <w:spacing w:after="0" w:line="180" w:lineRule="exact"/>
        <w:rPr>
          <w:sz w:val="20"/>
          <w:szCs w:val="20"/>
          <w:color w:val="auto"/>
        </w:rPr>
      </w:pPr>
    </w:p>
    <w:p>
      <w:pPr>
        <w:ind w:right="240" w:firstLine="599"/>
        <w:spacing w:after="0" w:line="289" w:lineRule="auto"/>
        <w:rPr>
          <w:sz w:val="20"/>
          <w:szCs w:val="20"/>
          <w:color w:val="auto"/>
        </w:rPr>
      </w:pPr>
      <w:r>
        <w:rPr>
          <w:rFonts w:ascii="Times New Roman" w:cs="Times New Roman" w:eastAsia="Times New Roman" w:hAnsi="Times New Roman"/>
          <w:sz w:val="17"/>
          <w:szCs w:val="17"/>
          <w:color w:val="auto"/>
        </w:rPr>
        <w:t>On September 4, 2024, the Company entered into a 36-month operating lease for 6,138 square feet of office space in Burlington, Massachusetts, that expires on November 21, 2027 (the “Burlington Lease Agreement”). The prior lease expired on November 20, 2024. On November 21, 2024, the effective date of the Burlington Lease Agreement, the Company recognized additional net ROU assets and lease liabilities in the amount of $0.5 million.</w:t>
      </w:r>
    </w:p>
    <w:p>
      <w:pPr>
        <w:spacing w:after="0" w:line="158" w:lineRule="exact"/>
        <w:rPr>
          <w:sz w:val="20"/>
          <w:szCs w:val="20"/>
          <w:color w:val="auto"/>
        </w:rPr>
      </w:pPr>
    </w:p>
    <w:p>
      <w:pPr>
        <w:ind w:right="200" w:firstLine="599"/>
        <w:spacing w:after="0" w:line="282" w:lineRule="auto"/>
        <w:rPr>
          <w:sz w:val="20"/>
          <w:szCs w:val="20"/>
          <w:color w:val="auto"/>
        </w:rPr>
      </w:pPr>
      <w:r>
        <w:rPr>
          <w:rFonts w:ascii="Times New Roman" w:cs="Times New Roman" w:eastAsia="Times New Roman" w:hAnsi="Times New Roman"/>
          <w:sz w:val="18"/>
          <w:szCs w:val="18"/>
          <w:color w:val="auto"/>
        </w:rPr>
        <w:t>The Company determines if a contract contains a lease at inception. Our office leases have a remaining term of approximately 2 years and do not include options to extend the leases for additional periods.</w:t>
      </w:r>
    </w:p>
    <w:p>
      <w:pPr>
        <w:spacing w:after="0" w:line="162" w:lineRule="exact"/>
        <w:rPr>
          <w:sz w:val="20"/>
          <w:szCs w:val="20"/>
          <w:color w:val="auto"/>
        </w:rPr>
      </w:pPr>
    </w:p>
    <w:p>
      <w:pPr>
        <w:ind w:right="20" w:firstLine="599"/>
        <w:spacing w:after="0" w:line="256" w:lineRule="auto"/>
        <w:rPr>
          <w:sz w:val="20"/>
          <w:szCs w:val="20"/>
          <w:color w:val="auto"/>
        </w:rPr>
      </w:pPr>
      <w:r>
        <w:rPr>
          <w:rFonts w:ascii="Times New Roman" w:cs="Times New Roman" w:eastAsia="Times New Roman" w:hAnsi="Times New Roman"/>
          <w:sz w:val="18"/>
          <w:szCs w:val="18"/>
          <w:color w:val="auto"/>
        </w:rPr>
        <w:t>Operating lease assets and liabilities are recognized at the lease commencement date. Operating lease liabilities represent the present value of lease payments not yet paid. Operating lease assets represent our right to use an underlying asset and are based upon the operating lease liabilities as adjusted for prepayments or accrued lease payments, initial direct costs, lease incentives, and impairment of operating lease assets. To determine the present value of lease payments not yet paid, we estimate incremental secured borrowing rates corresponding to the maturities of the leases. As we have no outstanding debt nor committed credit facilities, secured or otherwise, we estimate this rate based on prevailing financial market conditions, comparable company and credit analysis, and management’s judgment.</w:t>
      </w:r>
    </w:p>
    <w:p>
      <w:pPr>
        <w:spacing w:after="0" w:line="187" w:lineRule="exact"/>
        <w:rPr>
          <w:sz w:val="20"/>
          <w:szCs w:val="20"/>
          <w:color w:val="auto"/>
        </w:rPr>
      </w:pPr>
    </w:p>
    <w:p>
      <w:pPr>
        <w:ind w:right="100" w:firstLine="599"/>
        <w:spacing w:after="0" w:line="261" w:lineRule="auto"/>
        <w:rPr>
          <w:sz w:val="20"/>
          <w:szCs w:val="20"/>
          <w:color w:val="auto"/>
        </w:rPr>
      </w:pPr>
      <w:r>
        <w:rPr>
          <w:rFonts w:ascii="Times New Roman" w:cs="Times New Roman" w:eastAsia="Times New Roman" w:hAnsi="Times New Roman"/>
          <w:sz w:val="18"/>
          <w:szCs w:val="18"/>
          <w:color w:val="auto"/>
        </w:rPr>
        <w:t>Our leases contain rent escalations over the lease term. We recognize expense for these leases on a straight-line basis over the lease term. Additionally, tenant incentives used to fund leasehold improvements are recognized when earned and reduce our ROU asset related to the lease. These are amortized through the ROU asset as reductions of expense over the lease term. Our lease agreements do not contain any material residual value guarantees or material restrictive covenants.</w:t>
      </w:r>
    </w:p>
    <w:p>
      <w:pPr>
        <w:spacing w:after="0" w:line="180" w:lineRule="exact"/>
        <w:rPr>
          <w:sz w:val="20"/>
          <w:szCs w:val="20"/>
          <w:color w:val="auto"/>
        </w:rPr>
      </w:pPr>
    </w:p>
    <w:p>
      <w:pPr>
        <w:ind w:right="800" w:firstLine="599"/>
        <w:spacing w:after="0" w:line="282" w:lineRule="auto"/>
        <w:rPr>
          <w:sz w:val="20"/>
          <w:szCs w:val="20"/>
          <w:color w:val="auto"/>
        </w:rPr>
      </w:pPr>
      <w:r>
        <w:rPr>
          <w:rFonts w:ascii="Times New Roman" w:cs="Times New Roman" w:eastAsia="Times New Roman" w:hAnsi="Times New Roman"/>
          <w:sz w:val="18"/>
          <w:szCs w:val="18"/>
          <w:color w:val="auto"/>
        </w:rPr>
        <w:t>While we do not currently have any lease agreement with lease and non-lease components, we elected to account for lease and non-lease components as separate components.</w:t>
      </w:r>
    </w:p>
    <w:p>
      <w:pPr>
        <w:spacing w:after="0" w:line="162" w:lineRule="exact"/>
        <w:rPr>
          <w:sz w:val="20"/>
          <w:szCs w:val="20"/>
          <w:color w:val="auto"/>
        </w:rPr>
      </w:pPr>
    </w:p>
    <w:p>
      <w:pPr>
        <w:ind w:right="200" w:firstLine="599"/>
        <w:spacing w:after="0" w:line="261" w:lineRule="auto"/>
        <w:rPr>
          <w:sz w:val="20"/>
          <w:szCs w:val="20"/>
          <w:color w:val="auto"/>
        </w:rPr>
      </w:pPr>
      <w:r>
        <w:rPr>
          <w:rFonts w:ascii="Times New Roman" w:cs="Times New Roman" w:eastAsia="Times New Roman" w:hAnsi="Times New Roman"/>
          <w:sz w:val="18"/>
          <w:szCs w:val="18"/>
          <w:color w:val="auto"/>
        </w:rPr>
        <w:t>We have elected the short-term lease recognition exemption for all applicable classes of underlying assets. Short-term disclosures include only those leases with a term greater than one month and 12 months or less, and expense is recognized on a straight-line basis over the lease term. Leases with an initial term of 12 months or less, that do not include an option to purchase the underlying asset that we are reasonably certain to exercise, are not recorded on the unaudited condensed consolidated balance sheet.</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1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-3175</wp:posOffset>
            </wp:positionV>
            <wp:extent cx="22371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ind w:left="834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-3175</wp:posOffset>
            </wp:positionV>
            <wp:extent cx="22371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50" w:lineRule="exact"/>
        <w:rPr>
          <w:sz w:val="20"/>
          <w:szCs w:val="20"/>
          <w:color w:val="auto"/>
        </w:rPr>
      </w:pPr>
    </w:p>
    <w:p>
      <w:pPr>
        <w:spacing w:after="0"/>
        <w:tabs>
          <w:tab w:leader="none" w:pos="7700" w:val="left"/>
          <w:tab w:leader="none" w:pos="9060" w:val="left"/>
          <w:tab w:leader="none" w:pos="9560" w:val="left"/>
          <w:tab w:leader="none" w:pos="10920" w:val="left"/>
        </w:tabs>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4"/>
          <w:szCs w:val="24"/>
          <w:color w:val="auto"/>
          <w:vertAlign w:val="superscript"/>
        </w:rPr>
        <w:t>(a)</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hanging="172"/>
        <w:spacing w:after="0" w:line="219" w:lineRule="auto"/>
        <w:tabs>
          <w:tab w:leader="none" w:pos="18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variable operating lease expenses, which are immaterial</w:t>
      </w:r>
    </w:p>
    <w:p>
      <w:pPr>
        <w:spacing w:after="0" w:line="3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Other supplemental cash flow information related to leases were as follows (in thousands):</w:t>
      </w:r>
    </w:p>
    <w:p>
      <w:pPr>
        <w:spacing w:after="0" w:line="21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liability:</w:t>
            </w:r>
          </w:p>
        </w:tc>
        <w:tc>
          <w:tcPr>
            <w:tcW w:w="2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34"/>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97</w:t>
            </w:r>
          </w:p>
        </w:tc>
      </w:tr>
      <w:tr>
        <w:trPr>
          <w:trHeight w:val="522"/>
        </w:trPr>
        <w:tc>
          <w:tcPr>
            <w:tcW w:w="5260" w:type="dxa"/>
            <w:vAlign w:val="bottom"/>
          </w:tcPr>
          <w:p>
            <w:pPr>
              <w:spacing w:after="0"/>
              <w:rPr>
                <w:sz w:val="24"/>
                <w:szCs w:val="24"/>
                <w:color w:val="auto"/>
              </w:rPr>
            </w:pPr>
          </w:p>
        </w:tc>
        <w:tc>
          <w:tcPr>
            <w:tcW w:w="246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763"/>
        </w:trPr>
        <w:tc>
          <w:tcPr>
            <w:tcW w:w="52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Other supplemental balance sheet information related to our operating leases (in thousands, except lease term and discount rate):</w:t>
      </w:r>
    </w:p>
    <w:p>
      <w:pPr>
        <w:spacing w:after="0" w:line="206" w:lineRule="exact"/>
        <w:rPr>
          <w:sz w:val="20"/>
          <w:szCs w:val="20"/>
          <w:color w:val="auto"/>
        </w:rPr>
      </w:pPr>
    </w:p>
    <w:tbl>
      <w:tblPr>
        <w:tblLayout w:type="fixed"/>
        <w:tblInd w:w="7600" w:type="dxa"/>
        <w:tblCellMar>
          <w:top w:w="0" w:type="dxa"/>
          <w:left w:w="0" w:type="dxa"/>
          <w:bottom w:w="0" w:type="dxa"/>
          <w:right w:w="0" w:type="dxa"/>
        </w:tblCellMar>
      </w:tblPr>
      <w:tr>
        <w:trPr>
          <w:trHeight w:val="161"/>
        </w:trPr>
        <w:tc>
          <w:tcPr>
            <w:tcW w:w="17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7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2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5"/>
                <w:szCs w:val="15"/>
                <w:color w:val="auto"/>
              </w:rPr>
            </w:pPr>
          </w:p>
        </w:tc>
        <w:tc>
          <w:tcPr>
            <w:tcW w:w="172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2025</w:t>
            </w:r>
          </w:p>
        </w:tc>
      </w:tr>
    </w:tbl>
    <w:p>
      <w:pPr>
        <w:spacing w:after="0" w:line="13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obligations under operating leases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Weighted-average remaining lease term (in years)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discount rate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gridSpan w:val="2"/>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530</w:t>
            </w:r>
          </w:p>
        </w:tc>
        <w:tc>
          <w:tcPr>
            <w:tcW w:w="7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613</w:t>
            </w:r>
          </w:p>
        </w:tc>
      </w:tr>
      <w:tr>
        <w:trPr>
          <w:trHeight w:val="41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(369)</w:t>
            </w:r>
          </w:p>
        </w:tc>
        <w:tc>
          <w:tcPr>
            <w:tcW w:w="76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r>
      <w:tr>
        <w:trPr>
          <w:trHeight w:val="234"/>
        </w:trPr>
        <w:tc>
          <w:tcPr>
            <w:tcW w:w="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(186)</w:t>
            </w:r>
          </w:p>
        </w:tc>
        <w:tc>
          <w:tcPr>
            <w:tcW w:w="7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r>
      <w:tr>
        <w:trPr>
          <w:trHeight w:val="210"/>
        </w:trPr>
        <w:tc>
          <w:tcPr>
            <w:tcW w:w="20" w:type="dxa"/>
            <w:vAlign w:val="bottom"/>
          </w:tcPr>
          <w:p>
            <w:pPr>
              <w:spacing w:after="0"/>
              <w:rPr>
                <w:sz w:val="18"/>
                <w:szCs w:val="18"/>
                <w:color w:val="auto"/>
              </w:rPr>
            </w:pPr>
          </w:p>
        </w:tc>
        <w:tc>
          <w:tcPr>
            <w:tcW w:w="6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(555)</w:t>
            </w:r>
          </w:p>
        </w:tc>
        <w:tc>
          <w:tcPr>
            <w:tcW w:w="7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(641)</w:t>
            </w: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tcPr>
          <w:p>
            <w:pPr>
              <w:spacing w:after="0"/>
              <w:rPr>
                <w:sz w:val="24"/>
                <w:szCs w:val="24"/>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9.43%</w:t>
            </w:r>
          </w:p>
        </w:tc>
        <w:tc>
          <w:tcPr>
            <w:tcW w:w="7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-1268095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-993775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-719455</wp:posOffset>
            </wp:positionV>
            <wp:extent cx="713232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-410845</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-136525</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80" w:space="720"/>
            <w:col w:w="3640"/>
          </w:cols>
          <w:pgMar w:left="320" w:top="117" w:right="339" w:bottom="1440" w:gutter="0" w:footer="0" w:header="0"/>
          <w:type w:val="continuous"/>
        </w:sectPr>
      </w:pPr>
    </w:p>
    <w:p>
      <w:pPr>
        <w:spacing w:after="0" w:line="2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March 31, 2026, future minimum payments under non-cancelable operating leases, were are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9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142"/>
        </w:trPr>
        <w:tc>
          <w:tcPr>
            <w:tcW w:w="9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(remainder of)</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294</w:t>
            </w:r>
          </w:p>
        </w:tc>
      </w:tr>
      <w:tr>
        <w:trPr>
          <w:trHeight w:val="210"/>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3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369</w:t>
            </w:r>
          </w:p>
        </w:tc>
      </w:tr>
      <w:tr>
        <w:trPr>
          <w:trHeight w:val="250"/>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186</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Grants and Licenses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ALS Therapy Development Institute License Agreement</w:t>
      </w:r>
    </w:p>
    <w:p>
      <w:pPr>
        <w:spacing w:after="0" w:line="119" w:lineRule="exact"/>
        <w:rPr>
          <w:sz w:val="20"/>
          <w:szCs w:val="20"/>
          <w:color w:val="auto"/>
        </w:rPr>
      </w:pPr>
    </w:p>
    <w:p>
      <w:pPr>
        <w:ind w:right="120" w:firstLine="599"/>
        <w:spacing w:after="0" w:line="261" w:lineRule="auto"/>
        <w:rPr>
          <w:sz w:val="20"/>
          <w:szCs w:val="20"/>
          <w:color w:val="auto"/>
        </w:rPr>
      </w:pPr>
      <w:r>
        <w:rPr>
          <w:rFonts w:ascii="Times New Roman" w:cs="Times New Roman" w:eastAsia="Times New Roman" w:hAnsi="Times New Roman"/>
          <w:sz w:val="18"/>
          <w:szCs w:val="18"/>
          <w:color w:val="auto"/>
        </w:rPr>
        <w:t>In May 2015, Anelixis executed a License Agreement (the “Agreement”), which is an exclusive patent rights agreement with ALS Therapy Development Institute (“ALS TDI”) for certain patents and “know-how” of ALS TDI. This Agreement continues until the licensee terminates the agreement with ninety days written notice. The Agreement requires license fees payable to ALS TDI, subject to the achievement of certain milestones and other conditions.</w:t>
      </w:r>
    </w:p>
    <w:p>
      <w:pPr>
        <w:spacing w:after="0" w:line="180" w:lineRule="exact"/>
        <w:rPr>
          <w:sz w:val="20"/>
          <w:szCs w:val="20"/>
          <w:color w:val="auto"/>
        </w:rPr>
      </w:pPr>
    </w:p>
    <w:p>
      <w:pPr>
        <w:ind w:right="100" w:firstLine="599"/>
        <w:spacing w:after="0" w:line="261" w:lineRule="auto"/>
        <w:rPr>
          <w:sz w:val="20"/>
          <w:szCs w:val="20"/>
          <w:color w:val="auto"/>
        </w:rPr>
      </w:pPr>
      <w:r>
        <w:rPr>
          <w:rFonts w:ascii="Times New Roman" w:cs="Times New Roman" w:eastAsia="Times New Roman" w:hAnsi="Times New Roman"/>
          <w:sz w:val="18"/>
          <w:szCs w:val="18"/>
          <w:color w:val="auto"/>
        </w:rPr>
        <w:t>The first and second milestones of the Agreement are the dosing of the first subjects in a first toxicity study in non-human primates and the dosing of the first patient in a Phase I Clinical Trial, respectively. Both of these milestones were achieved prior to 2024. The fee due upon achievement of each milestone was $1.0 million, and as the payments became due, the Company settled the obligations through the issuance of common stock in lieu of cash payments.</w:t>
      </w:r>
    </w:p>
    <w:p>
      <w:pPr>
        <w:spacing w:after="0" w:line="180" w:lineRule="exact"/>
        <w:rPr>
          <w:sz w:val="20"/>
          <w:szCs w:val="20"/>
          <w:color w:val="auto"/>
        </w:rPr>
      </w:pPr>
    </w:p>
    <w:p>
      <w:pPr>
        <w:ind w:right="200" w:firstLine="599"/>
        <w:spacing w:after="0" w:line="266" w:lineRule="auto"/>
        <w:rPr>
          <w:sz w:val="20"/>
          <w:szCs w:val="20"/>
          <w:color w:val="auto"/>
        </w:rPr>
      </w:pPr>
      <w:r>
        <w:rPr>
          <w:rFonts w:ascii="Times New Roman" w:cs="Times New Roman" w:eastAsia="Times New Roman" w:hAnsi="Times New Roman"/>
          <w:sz w:val="18"/>
          <w:szCs w:val="18"/>
          <w:color w:val="auto"/>
        </w:rPr>
        <w:t>The Agreement was amended and restated in February 2020, and a first amendment to the restated license agreement was executed in September 2020. As amended in September 2020, the remaining milestone payments for a first licensed product total $6.0 million. In the event that the Company develops a second licensed product, the Company is obligated to pay up to $2.5 million in additional milestone payments.</w:t>
      </w:r>
    </w:p>
    <w:p>
      <w:pPr>
        <w:spacing w:after="0" w:line="176" w:lineRule="exact"/>
        <w:rPr>
          <w:sz w:val="20"/>
          <w:szCs w:val="20"/>
          <w:color w:val="auto"/>
        </w:rPr>
      </w:pPr>
    </w:p>
    <w:p>
      <w:pPr>
        <w:ind w:right="200" w:firstLine="599"/>
        <w:spacing w:after="0" w:line="266" w:lineRule="auto"/>
        <w:rPr>
          <w:sz w:val="20"/>
          <w:szCs w:val="20"/>
          <w:color w:val="auto"/>
        </w:rPr>
      </w:pPr>
      <w:r>
        <w:rPr>
          <w:rFonts w:ascii="Times New Roman" w:cs="Times New Roman" w:eastAsia="Times New Roman" w:hAnsi="Times New Roman"/>
          <w:sz w:val="18"/>
          <w:szCs w:val="18"/>
          <w:color w:val="auto"/>
        </w:rPr>
        <w:t>In addition to the milestone payments, the Company is required to pay ALS TDI an amended annual license maintenance fee of $0.1 million beginning on the earlier of January 1, 2022, the Company’s first sublicense, or change in control, as defined in the Agreement. The Company has made a $0.1 million annual license maintenance fee each year since 2022.</w:t>
      </w:r>
    </w:p>
    <w:p>
      <w:pPr>
        <w:spacing w:after="0" w:line="176" w:lineRule="exact"/>
        <w:rPr>
          <w:sz w:val="20"/>
          <w:szCs w:val="20"/>
          <w:color w:val="auto"/>
        </w:rPr>
      </w:pPr>
    </w:p>
    <w:p>
      <w:pPr>
        <w:jc w:val="both"/>
        <w:ind w:right="140" w:firstLine="599"/>
        <w:spacing w:after="0" w:line="266" w:lineRule="auto"/>
        <w:rPr>
          <w:sz w:val="20"/>
          <w:szCs w:val="20"/>
          <w:color w:val="auto"/>
        </w:rPr>
      </w:pPr>
      <w:r>
        <w:rPr>
          <w:rFonts w:ascii="Times New Roman" w:cs="Times New Roman" w:eastAsia="Times New Roman" w:hAnsi="Times New Roman"/>
          <w:sz w:val="18"/>
          <w:szCs w:val="18"/>
          <w:color w:val="auto"/>
        </w:rPr>
        <w:t>Furthermore, the Company is required to pay ALS TDI fees based on reaching certain levels of annual net sales of any product produced with the patent rights. A royalty in the low single digits will be due on aggregate net sales. Upon the first calendar year of reaching $500.0 million in aggregate net sales, the Company will be required to pay ALS TDI a one-time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milestone payment of $15.0 million. Upon the first calendar year of reaching $1.0 billion in aggregate net sales, the Company is obligated to pay ALS TDI a one-time milestone payment of $30.0 million.</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There were no milestones achieved during the three months ended March 31, 2026 or 2025.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Lonza Sales AG Inc. License Agreement</w:t>
      </w:r>
    </w:p>
    <w:p>
      <w:pPr>
        <w:spacing w:after="0" w:line="119" w:lineRule="exact"/>
        <w:rPr>
          <w:sz w:val="20"/>
          <w:szCs w:val="20"/>
          <w:color w:val="auto"/>
        </w:rPr>
      </w:pPr>
    </w:p>
    <w:p>
      <w:pPr>
        <w:ind w:right="60" w:firstLine="599"/>
        <w:spacing w:after="0" w:line="258" w:lineRule="auto"/>
        <w:rPr>
          <w:sz w:val="20"/>
          <w:szCs w:val="20"/>
          <w:color w:val="auto"/>
        </w:rPr>
      </w:pPr>
      <w:r>
        <w:rPr>
          <w:rFonts w:ascii="Times New Roman" w:cs="Times New Roman" w:eastAsia="Times New Roman" w:hAnsi="Times New Roman"/>
          <w:sz w:val="18"/>
          <w:szCs w:val="18"/>
          <w:color w:val="auto"/>
        </w:rPr>
        <w:t>In September 2018, Anelixis executed a License Agreement (the “Lonza Agreement”), which is a manufacturing know-how rights agreement with Lonza Sales AG Inc. (“Lonza”) for the use of certain processes and know-how related to the manufacture of tegoprubart. The Lonza Agreement continues until the later of the last Valid Claim (as defined therein) or ten years from the First Commercial Sale of tegoprubart, as defined and subject to the conditions therein. A royalty in the low single digits will be due on aggregate net sales of tegoprubart that is manufactured by Lonza or any other third-party or licensee. For the three months ended March 31, 2026 and 2025, the Company has not paid any royalties under the Lonza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firstLine="599"/>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are not a party to or the subject of any claim or lawsuit that individually or in the aggregate is anticipated to have a material effect on the Company’s results of operations, financial condition or cash 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40" w:firstLine="599"/>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claims or been required to defend any action related to its indemnification obligations. However, the Company may record charges in the future because of these indemnification obligations. No amounts associated with such indemnifications have been recorded to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320" w:firstLine="59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 There have been no contingent liabilities requiring accrual as of March 31, 2026 and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Preferred Stock and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 has 5,000,000 authorized shares of preferred stock with a par value of $0.001 per share:</w:t>
      </w:r>
    </w:p>
    <w:p>
      <w:pPr>
        <w:spacing w:after="0" w:line="117" w:lineRule="exact"/>
        <w:rPr>
          <w:sz w:val="20"/>
          <w:szCs w:val="20"/>
          <w:color w:val="auto"/>
        </w:rPr>
      </w:pPr>
    </w:p>
    <w:p>
      <w:pPr>
        <w:ind w:left="760" w:right="20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X non-voting convertible preferred stock, 10,000 shares designated; 4,422 shares issued and outstanding, respectively, at each of March 31, 2026 and December 31, 2025; and</w:t>
      </w:r>
    </w:p>
    <w:p>
      <w:pPr>
        <w:spacing w:after="0" w:line="60" w:lineRule="exact"/>
        <w:rPr>
          <w:rFonts w:ascii="Times New Roman" w:cs="Times New Roman" w:eastAsia="Times New Roman" w:hAnsi="Times New Roman"/>
          <w:sz w:val="18"/>
          <w:szCs w:val="18"/>
          <w:color w:val="auto"/>
        </w:rPr>
      </w:pPr>
    </w:p>
    <w:p>
      <w:pPr>
        <w:ind w:left="760" w:right="380" w:hanging="378"/>
        <w:spacing w:after="0" w:line="233"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X</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non-voting convertible preferred stock, 515,000 shares designated; 110,086 shares issued and outstanding, respectively, at each of March 31, 2026 and December 31, 2025.</w:t>
      </w:r>
    </w:p>
    <w:p>
      <w:pPr>
        <w:spacing w:after="0" w:line="199" w:lineRule="exact"/>
        <w:rPr>
          <w:sz w:val="20"/>
          <w:szCs w:val="20"/>
          <w:color w:val="auto"/>
        </w:rPr>
      </w:pPr>
    </w:p>
    <w:p>
      <w:pPr>
        <w:ind w:right="60" w:firstLine="599"/>
        <w:spacing w:after="0" w:line="246" w:lineRule="auto"/>
        <w:rPr>
          <w:sz w:val="20"/>
          <w:szCs w:val="20"/>
          <w:color w:val="auto"/>
        </w:rPr>
      </w:pPr>
      <w:r>
        <w:rPr>
          <w:rFonts w:ascii="Times New Roman" w:cs="Times New Roman" w:eastAsia="Times New Roman" w:hAnsi="Times New Roman"/>
          <w:sz w:val="18"/>
          <w:szCs w:val="18"/>
          <w:color w:val="auto"/>
        </w:rPr>
        <w:t>Each share of the Preferred Stock is convertible into 55.5556 shares of common stock, at the option of the holder at any time, subject to certain limitations, including, that the holder will be prohibited from converting the Preferred Stock into common stock if, as a result of such conversion, the holder, together with its affiliates, would beneficially own a number of shares of common stock above a conversion blocker, which is initially set at 9.99% or 9.9% of the total common stock then issued and outstanding immediately following the conversion of such shares of Series X Preferred Stock or Series X</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Preferred Stock, respectively. The holder of the Preferred Stock is entitled to receive dividends on shares of the Preferred Stock equal (on an as-if-converted-to-common-stock basis and without regard to any beneficial ownership limitations) to and in the same form as dividends actually paid on shares of the common stock. No other dividends will be paid on shares of the Preferred Stock. In the event of any liquidation, dissolution or winding up, the holder of the Preferred Stock will be entitled to receive out of the assets, whether capital or surplus, the same amount that a holder of common stock would receive if the Preferred Stock were fully converted to common stock, which amounts shall be paid pari passu with all holders of common stock. Shares of the Preferred Stock will generally have no voting rights, except as required by law and except that the</w:t>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a majority of the holders of either series of outstanding Preferred Stock will be required to amend the terms of such series.</w:t>
      </w:r>
    </w:p>
    <w:p>
      <w:pPr>
        <w:spacing w:after="0" w:line="225" w:lineRule="exact"/>
        <w:rPr>
          <w:sz w:val="20"/>
          <w:szCs w:val="20"/>
          <w:color w:val="auto"/>
        </w:rPr>
      </w:pPr>
    </w:p>
    <w:p>
      <w:pPr>
        <w:ind w:right="20" w:firstLine="599"/>
        <w:spacing w:after="0" w:line="256" w:lineRule="auto"/>
        <w:rPr>
          <w:sz w:val="20"/>
          <w:szCs w:val="20"/>
          <w:color w:val="auto"/>
        </w:rPr>
      </w:pPr>
      <w:r>
        <w:rPr>
          <w:rFonts w:ascii="Times New Roman" w:cs="Times New Roman" w:eastAsia="Times New Roman" w:hAnsi="Times New Roman"/>
          <w:sz w:val="18"/>
          <w:szCs w:val="18"/>
          <w:color w:val="auto"/>
        </w:rPr>
        <w:t>The Preferred Stock includes a provision that, in the event of a tender or exchange offer by a third party in which more than 50% of the common stockholders receive cash or other assets, allows holders of Preferred Stock, upon any subsequent conversion, to redeem their shares for the same form of consideration. In August 2025, the Company concluded that because this redemption right may be triggered by an event outside the Company’s control and could result in settlement in cash, the Preferred Stock is classified as temporary equity. As of the current reporting date, a tender offer is not probable, and the Preferred Stock is not deemed probable of becoming redeemable. Because redemption is not considered probable, the Preferred Stock is not subsequently remeasured to its redemption value.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80" w:firstLine="599"/>
        <w:spacing w:after="0" w:line="266" w:lineRule="auto"/>
        <w:rPr>
          <w:sz w:val="20"/>
          <w:szCs w:val="20"/>
          <w:color w:val="auto"/>
        </w:rPr>
      </w:pPr>
      <w:r>
        <w:rPr>
          <w:rFonts w:ascii="Times New Roman" w:cs="Times New Roman" w:eastAsia="Times New Roman" w:hAnsi="Times New Roman"/>
          <w:sz w:val="18"/>
          <w:szCs w:val="18"/>
          <w:color w:val="auto"/>
        </w:rPr>
        <w:t>On June 10, 2025, the Company held its 2025 Annual Meeting of Stockholders (the “2025 Annual Meeting”). At the 2025 Annual Meeting, the Company’s stockholders approved an amendment (the “Authorized Share Increase Amendment”) to the Company’s Restated Certificate of Incorporation (as amended, the “Certificate of Incorporation”) to increase the number of authorized shares of common stock from 200,000,000 to 300,000,000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Securities Purchase Agreement</w:t>
      </w:r>
    </w:p>
    <w:p>
      <w:pPr>
        <w:spacing w:after="0" w:line="229" w:lineRule="exact"/>
        <w:rPr>
          <w:sz w:val="20"/>
          <w:szCs w:val="20"/>
          <w:color w:val="auto"/>
        </w:rPr>
      </w:pPr>
    </w:p>
    <w:p>
      <w:pPr>
        <w:ind w:right="120" w:firstLine="599"/>
        <w:spacing w:after="0" w:line="258" w:lineRule="auto"/>
        <w:rPr>
          <w:sz w:val="20"/>
          <w:szCs w:val="20"/>
          <w:color w:val="auto"/>
        </w:rPr>
      </w:pPr>
      <w:r>
        <w:rPr>
          <w:rFonts w:ascii="Times New Roman" w:cs="Times New Roman" w:eastAsia="Times New Roman" w:hAnsi="Times New Roman"/>
          <w:sz w:val="18"/>
          <w:szCs w:val="18"/>
          <w:color w:val="auto"/>
        </w:rPr>
        <w:t>On April 28, 2023, the Company entered into a securities purchase agreement with certain investors, pursuant to which the Company issued and sold, in a private placement, (i) in an initial closing (a) an aggregate of 15,151,518 shares of common stock, or pre-funded warrants in lieu thereof, and (b) common stock warrants exercisable into an aggregate of 15,151,518 shares of common stock (or pre-funded warrants in lieu thereof) (the “Common Warrants”), (ii) in a second closing, an aggregate of 909,088 shares of common stock; and (iii) in a third closing, an aggregate of 1,727,400 shares of common stock. The Common Warrants have an exercise price of $3.00 per share and a term of five years from issuance.</w:t>
      </w:r>
    </w:p>
    <w:p>
      <w:pPr>
        <w:spacing w:after="0" w:line="116" w:lineRule="exact"/>
        <w:rPr>
          <w:sz w:val="20"/>
          <w:szCs w:val="20"/>
          <w:color w:val="auto"/>
        </w:rPr>
      </w:pPr>
    </w:p>
    <w:p>
      <w:pPr>
        <w:ind w:right="180" w:firstLine="599"/>
        <w:spacing w:after="0" w:line="261" w:lineRule="auto"/>
        <w:rPr>
          <w:sz w:val="20"/>
          <w:szCs w:val="20"/>
          <w:color w:val="auto"/>
        </w:rPr>
      </w:pPr>
      <w:r>
        <w:rPr>
          <w:rFonts w:ascii="Times New Roman" w:cs="Times New Roman" w:eastAsia="Times New Roman" w:hAnsi="Times New Roman"/>
          <w:sz w:val="18"/>
          <w:szCs w:val="18"/>
          <w:color w:val="auto"/>
        </w:rPr>
        <w:t>In August 2024, the Company concluded that the Common Warrants do not meet the conditions to be classified as equity instruments under ASC 815-40 and must instead be recorded as liabilities on the Company’s consolidated balance sheets at their fair value and remeasured at fair value for each subsequent reporting period. The valuation of the Common Warrants is adjusted to fair value (Level 3) at each balance sheet date until the Common Warrants are settled or expired.</w:t>
      </w:r>
    </w:p>
    <w:p>
      <w:pPr>
        <w:spacing w:after="0" w:line="99" w:lineRule="exact"/>
        <w:rPr>
          <w:sz w:val="20"/>
          <w:szCs w:val="20"/>
          <w:color w:val="auto"/>
        </w:rPr>
      </w:pPr>
    </w:p>
    <w:p>
      <w:pPr>
        <w:ind w:right="100" w:firstLine="59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assumptions used in the Black-Scholes option pricing model to determine the fair value of the Common Warrants as of March 31, 2026 and December 31, 2025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80" w:type="dxa"/>
            <w:vAlign w:val="bottom"/>
          </w:tcPr>
          <w:p>
            <w:pPr>
              <w:spacing w:after="0"/>
              <w:rPr>
                <w:sz w:val="15"/>
                <w:szCs w:val="15"/>
                <w:color w:val="auto"/>
              </w:rPr>
            </w:pPr>
          </w:p>
        </w:tc>
        <w:tc>
          <w:tcPr>
            <w:tcW w:w="3720" w:type="dxa"/>
            <w:vAlign w:val="bottom"/>
            <w:gridSpan w:val="2"/>
          </w:tcPr>
          <w:p>
            <w:pPr>
              <w:jc w:val="center"/>
              <w:ind w:left="2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tcPr>
          <w:p>
            <w:pPr>
              <w:jc w:val="center"/>
              <w:ind w:right="416"/>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0"/>
        </w:trPr>
        <w:tc>
          <w:tcPr>
            <w:tcW w:w="4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720" w:type="dxa"/>
            <w:vAlign w:val="bottom"/>
            <w:gridSpan w:val="2"/>
            <w:shd w:val="clear" w:color="auto" w:fill="CFF0FC"/>
          </w:tcPr>
          <w:p>
            <w:pPr>
              <w:jc w:val="center"/>
              <w:ind w:left="2514"/>
              <w:spacing w:after="0"/>
              <w:rPr>
                <w:sz w:val="20"/>
                <w:szCs w:val="20"/>
                <w:color w:val="auto"/>
              </w:rPr>
            </w:pPr>
            <w:r>
              <w:rPr>
                <w:rFonts w:ascii="Times New Roman" w:cs="Times New Roman" w:eastAsia="Times New Roman" w:hAnsi="Times New Roman"/>
                <w:sz w:val="18"/>
                <w:szCs w:val="18"/>
                <w:color w:val="auto"/>
              </w:rPr>
              <w:t>119.7%</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40" w:type="dxa"/>
            <w:vAlign w:val="bottom"/>
            <w:shd w:val="clear" w:color="auto" w:fill="CFF0FC"/>
          </w:tcPr>
          <w:p>
            <w:pPr>
              <w:jc w:val="center"/>
              <w:ind w:right="416"/>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720" w:type="dxa"/>
            <w:vAlign w:val="bottom"/>
            <w:gridSpan w:val="2"/>
          </w:tcPr>
          <w:p>
            <w:pPr>
              <w:jc w:val="center"/>
              <w:ind w:left="2534"/>
              <w:spacing w:after="0"/>
              <w:rPr>
                <w:sz w:val="20"/>
                <w:szCs w:val="20"/>
                <w:color w:val="auto"/>
              </w:rPr>
            </w:pPr>
            <w:r>
              <w:rPr>
                <w:rFonts w:ascii="Times New Roman" w:cs="Times New Roman" w:eastAsia="Times New Roman" w:hAnsi="Times New Roman"/>
                <w:sz w:val="18"/>
                <w:szCs w:val="18"/>
                <w:color w:val="auto"/>
              </w:rPr>
              <w:t>3.8%</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jc w:val="center"/>
              <w:ind w:right="416"/>
              <w:spacing w:after="0"/>
              <w:rPr>
                <w:sz w:val="20"/>
                <w:szCs w:val="20"/>
                <w:color w:val="auto"/>
              </w:rPr>
            </w:pPr>
            <w:r>
              <w:rPr>
                <w:rFonts w:ascii="Times New Roman" w:cs="Times New Roman" w:eastAsia="Times New Roman" w:hAnsi="Times New Roman"/>
                <w:sz w:val="18"/>
                <w:szCs w:val="18"/>
                <w:color w:val="auto"/>
                <w:w w:val="95"/>
              </w:rPr>
              <w:t>3.6%</w:t>
            </w: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720" w:type="dxa"/>
            <w:vAlign w:val="bottom"/>
            <w:gridSpan w:val="2"/>
            <w:shd w:val="clear" w:color="auto" w:fill="CFF0FC"/>
          </w:tcPr>
          <w:p>
            <w:pPr>
              <w:jc w:val="center"/>
              <w:ind w:left="2534"/>
              <w:spacing w:after="0"/>
              <w:rPr>
                <w:sz w:val="20"/>
                <w:szCs w:val="20"/>
                <w:color w:val="auto"/>
              </w:rPr>
            </w:pPr>
            <w:r>
              <w:rPr>
                <w:rFonts w:ascii="Times New Roman" w:cs="Times New Roman" w:eastAsia="Times New Roman" w:hAnsi="Times New Roman"/>
                <w:sz w:val="18"/>
                <w:szCs w:val="18"/>
                <w:color w:val="auto"/>
                <w:w w:val="97"/>
              </w:rPr>
              <w:t>2.3</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40" w:type="dxa"/>
            <w:vAlign w:val="bottom"/>
            <w:shd w:val="clear" w:color="auto" w:fill="CFF0FC"/>
          </w:tcPr>
          <w:p>
            <w:pPr>
              <w:jc w:val="center"/>
              <w:ind w:right="416"/>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3720" w:type="dxa"/>
            <w:vAlign w:val="bottom"/>
            <w:gridSpan w:val="2"/>
          </w:tcPr>
          <w:p>
            <w:pPr>
              <w:jc w:val="right"/>
              <w:ind w:right="15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1.51</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Distribution Agreement</w:t>
      </w:r>
    </w:p>
    <w:p>
      <w:pPr>
        <w:spacing w:after="0" w:line="121" w:lineRule="exact"/>
        <w:rPr>
          <w:sz w:val="20"/>
          <w:szCs w:val="20"/>
          <w:color w:val="auto"/>
        </w:rPr>
      </w:pPr>
    </w:p>
    <w:p>
      <w:pPr>
        <w:ind w:right="220" w:firstLine="599"/>
        <w:spacing w:after="0" w:line="254" w:lineRule="auto"/>
        <w:rPr>
          <w:sz w:val="20"/>
          <w:szCs w:val="20"/>
          <w:color w:val="auto"/>
        </w:rPr>
      </w:pPr>
      <w:r>
        <w:rPr>
          <w:rFonts w:ascii="Times New Roman" w:cs="Times New Roman" w:eastAsia="Times New Roman" w:hAnsi="Times New Roman"/>
          <w:sz w:val="18"/>
          <w:szCs w:val="18"/>
          <w:color w:val="auto"/>
        </w:rPr>
        <w:t>On September 20, 2024, the Company entered into an Open Market Sale Agreement (the “Sales Agreement”) with Guggenheim Securities, LLC (“Guggenheim Securities”) to sell shares of the Company’s common stock, having aggregate sales proceeds of up to $75.0 million, from time to time, through an “at the market” equity offering program under which Guggenheim Securities will act as sales agent. In connection with the Sales Agreement, the Company filed on September 20, 2024 a registration statement on Form S-3 containing a prospectus and prospectus supplement (the “Initial Shelf Registration Statement”) with the SEC. The Initial Shelf Registration Statement became effective on October 2, 2024. In advance of the expiration of the Initial Registration Statement, the Company filed on May 1, 2026 a new registration statement on Form S-3 containing a prospectus and prospectus supplement (the “New Shelf Registration Statement”) with the SEC, which is not yet effective. The Initial Shelf Registration Statement will remain effective for a period of up to 180 days until the New Registration Statement becomes effective. As of March 31, 2026, the Company has not sold any shares under the Sales Agreement.</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Underwritten Offering</w:t>
      </w:r>
    </w:p>
    <w:p>
      <w:pPr>
        <w:spacing w:after="0" w:line="121"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auto"/>
        </w:rPr>
        <w:t>On November 12, 2025, the Company entered into an underwriting agreement (the “Underwriting Agreement”) with Leerink Partners, LLC, as representative of the several underwriters named therein (the “Underwriters”), in connection with the underwritten public offering and sale by the Company (the “2025 Underwritten Offering”) of 15,152,485 shares of the Company’s common stock at a public offering price of $1.65 per share (the “Common Stock Purchase Price”), and pre-funded warrants (the “2025 Offering Pre-Funded Warrants”) at a public offering price of $1.649 per 2025 Offering Pre-Funded Warrant, which are exercisable to purchase up to 15,151,515 shares of common stock at an exercise price of $0.001 per share. In addition, pursuant to the Underwriting Agreement, the Company granted the Underwriters an option (the “Option”), exercisable for 30 days, to purchase up to 4,545,600 additional shares of common stock at the Common Stock Purchase Price less the underwriting discounts and commissions, which Option had been exercised in full by the Underwriters.</w:t>
      </w:r>
    </w:p>
    <w:p>
      <w:pPr>
        <w:spacing w:after="0" w:line="192" w:lineRule="exact"/>
        <w:rPr>
          <w:sz w:val="20"/>
          <w:szCs w:val="20"/>
          <w:color w:val="auto"/>
        </w:rPr>
      </w:pPr>
    </w:p>
    <w:p>
      <w:pPr>
        <w:jc w:val="both"/>
        <w:ind w:right="200" w:firstLine="599"/>
        <w:spacing w:after="0" w:line="266" w:lineRule="auto"/>
        <w:rPr>
          <w:sz w:val="20"/>
          <w:szCs w:val="20"/>
          <w:color w:val="auto"/>
        </w:rPr>
      </w:pPr>
      <w:r>
        <w:rPr>
          <w:rFonts w:ascii="Times New Roman" w:cs="Times New Roman" w:eastAsia="Times New Roman" w:hAnsi="Times New Roman"/>
          <w:sz w:val="18"/>
          <w:szCs w:val="18"/>
          <w:color w:val="auto"/>
        </w:rPr>
        <w:t>The 2025 Underwritten Offering closed on November 13, 2025 and resulted in gross proceeds of $57.5 million or net proceeds of approximately $53.6 million after deducting the underwriting discounts and commissions and offering expenses. The 2025 Underwritten Offering was made pursuant to the Shelf Registration Statement and a prospectus supplement relating to the 2025 Underwritten Offering dated November 12, 2025.</w:t>
      </w:r>
    </w:p>
    <w:p>
      <w:pPr>
        <w:spacing w:after="0" w:line="176" w:lineRule="exact"/>
        <w:rPr>
          <w:sz w:val="20"/>
          <w:szCs w:val="20"/>
          <w:color w:val="auto"/>
        </w:rPr>
      </w:pPr>
    </w:p>
    <w:p>
      <w:pPr>
        <w:ind w:right="20" w:firstLine="599"/>
        <w:spacing w:after="0" w:line="258" w:lineRule="auto"/>
        <w:rPr>
          <w:sz w:val="20"/>
          <w:szCs w:val="20"/>
          <w:color w:val="auto"/>
        </w:rPr>
      </w:pPr>
      <w:r>
        <w:rPr>
          <w:rFonts w:ascii="Times New Roman" w:cs="Times New Roman" w:eastAsia="Times New Roman" w:hAnsi="Times New Roman"/>
          <w:sz w:val="18"/>
          <w:szCs w:val="18"/>
          <w:color w:val="auto"/>
        </w:rPr>
        <w:t>The 2025 Offering Pre-Funded Warrants were classified as a component of permanent stockholders’ equity within additional paid-in-capital. The 2025 Offering Pre-Funded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the 2025 Offering Pre-Funded Warrants do not provide any guarantee of value or return.</w:t>
      </w:r>
    </w:p>
    <w:p>
      <w:pPr>
        <w:spacing w:after="0" w:line="183" w:lineRule="exact"/>
        <w:rPr>
          <w:sz w:val="20"/>
          <w:szCs w:val="20"/>
          <w:color w:val="auto"/>
        </w:rPr>
      </w:pPr>
    </w:p>
    <w:p>
      <w:pPr>
        <w:ind w:right="280" w:firstLine="599"/>
        <w:spacing w:after="0" w:line="255" w:lineRule="auto"/>
        <w:rPr>
          <w:sz w:val="20"/>
          <w:szCs w:val="20"/>
          <w:color w:val="auto"/>
        </w:rPr>
      </w:pPr>
      <w:r>
        <w:rPr>
          <w:rFonts w:ascii="Times New Roman" w:cs="Times New Roman" w:eastAsia="Times New Roman" w:hAnsi="Times New Roman"/>
          <w:sz w:val="18"/>
          <w:szCs w:val="18"/>
          <w:color w:val="auto"/>
        </w:rPr>
        <w:t>A holder of the 2025 Offering Pre-Funded Warrants (together with its affiliates) may not exercise any portion of a 2025 Offering Pre-Funded Warrant to the extent that, after giving effect to such exercise, the holder (together with the holder’s affiliates, and any other persons acting as a group together with the holder or any of the holder’s affiliates) would beneficially own in excess of 4.99% of the number of shares of the Company’s common stock outstanding immediately after giving effect to the issuance of shares of common stock issuable upon exercise of such 2025 Offering Pre-Funded Warrant. A holder may increase or decrease such beneficial ownership limitation, provided that in no event shall the limitation exceed 19.99% of the number of shares of the common stock outstanding immediately after giving effect to the issuance of shares of common stock upon exercise of the 2025 Offering Pre-Funded Warrant.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Warrant Exchange Agreement</w:t>
      </w:r>
    </w:p>
    <w:p>
      <w:pPr>
        <w:spacing w:after="0" w:line="121" w:lineRule="exact"/>
        <w:rPr>
          <w:sz w:val="20"/>
          <w:szCs w:val="20"/>
          <w:color w:val="auto"/>
        </w:rPr>
      </w:pPr>
    </w:p>
    <w:p>
      <w:pPr>
        <w:ind w:right="100" w:firstLine="599"/>
        <w:spacing w:after="0" w:line="261" w:lineRule="auto"/>
        <w:rPr>
          <w:sz w:val="20"/>
          <w:szCs w:val="20"/>
          <w:color w:val="auto"/>
        </w:rPr>
      </w:pPr>
      <w:r>
        <w:rPr>
          <w:rFonts w:ascii="Times New Roman" w:cs="Times New Roman" w:eastAsia="Times New Roman" w:hAnsi="Times New Roman"/>
          <w:sz w:val="18"/>
          <w:szCs w:val="18"/>
          <w:color w:val="auto"/>
        </w:rPr>
        <w:t>On December 30, 2025, the Company entered into an exchange agreement (the “Warrant Exchange Agreement”) with Coastlands Capital Partners LP, (“Coastlands Capital”), pursuant to which Coastlands Capital agreed to exchange 4,203,764 shares of the Company’s common stock for a pre-funded warrant to purchase an aggregate of 4,203,764 shares of common stock (the “Exchange Warrant”), and the Company cancelled the 4,203,764 shares of common stock delivered in the exchange.</w:t>
      </w:r>
    </w:p>
    <w:p>
      <w:pPr>
        <w:spacing w:after="0" w:line="180" w:lineRule="exact"/>
        <w:rPr>
          <w:sz w:val="20"/>
          <w:szCs w:val="20"/>
          <w:color w:val="auto"/>
        </w:rPr>
      </w:pPr>
    </w:p>
    <w:p>
      <w:pPr>
        <w:ind w:right="60" w:firstLine="599"/>
        <w:spacing w:after="0" w:line="256" w:lineRule="auto"/>
        <w:rPr>
          <w:sz w:val="20"/>
          <w:szCs w:val="20"/>
          <w:color w:val="auto"/>
        </w:rPr>
      </w:pPr>
      <w:r>
        <w:rPr>
          <w:rFonts w:ascii="Times New Roman" w:cs="Times New Roman" w:eastAsia="Times New Roman" w:hAnsi="Times New Roman"/>
          <w:sz w:val="18"/>
          <w:szCs w:val="18"/>
          <w:color w:val="auto"/>
        </w:rPr>
        <w:t>Coastlands Capital (together with its affiliates) may not exercise any portion of the Exchange Warrant to the extent that, after giving effect to such exercise, Coastlands Capital (together with its affiliates and any other persons acting as a group together with Coastlands Capital or any of the its affiliates) would beneficially own in excess of 4.99% of the number of shares of the Company’s common stock outstanding immediately after giving effect to the issuance of shares of common stock issuable upon exercise of the Exchange Warrant. Coastlands Capital may increase or decrease such beneficial ownership limitation, provided that in no event shall the limitation exceed 19.99% of the number of shares of the common stock outstanding immediately after giving effect to the issuance of shares of common stock upon exercise of the Exchange Warrant.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 and Pre-Funded Warrants</w:t>
      </w:r>
    </w:p>
    <w:p>
      <w:pPr>
        <w:spacing w:after="0" w:line="121" w:lineRule="exact"/>
        <w:rPr>
          <w:sz w:val="20"/>
          <w:szCs w:val="20"/>
          <w:color w:val="auto"/>
        </w:rPr>
      </w:pPr>
    </w:p>
    <w:p>
      <w:pPr>
        <w:ind w:right="60" w:firstLine="599"/>
        <w:spacing w:after="0" w:line="261" w:lineRule="auto"/>
        <w:rPr>
          <w:sz w:val="20"/>
          <w:szCs w:val="20"/>
          <w:color w:val="auto"/>
        </w:rPr>
      </w:pPr>
      <w:r>
        <w:rPr>
          <w:rFonts w:ascii="Times New Roman" w:cs="Times New Roman" w:eastAsia="Times New Roman" w:hAnsi="Times New Roman"/>
          <w:sz w:val="18"/>
          <w:szCs w:val="18"/>
          <w:color w:val="auto"/>
        </w:rPr>
        <w:t>As of March 31, 2026, common stock warrants and pre-funded warrants exercisable for an aggregate of 51,781,090 shares of common stock were outstanding. The pre-funded warrants are exercisable for shares of common stock at a nominal exercise price and were fully paid for at issuance, except for the nominal exercise amount. The pre-funded warrants are intended to be economically equivalent to the Company’s common stock. The common stock warrants are exercisable for shares of common stock at an exercise price of $3.00 per share and expire on May 5, 2028.</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shows the warrants to purchase common stock activity:</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Roll-Forward of Warrant Activity</w:t>
            </w: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r>
      <w:tr>
        <w:trPr>
          <w:trHeight w:val="142"/>
        </w:trPr>
        <w:tc>
          <w:tcPr>
            <w:tcW w:w="5020" w:type="dxa"/>
            <w:vAlign w:val="bottom"/>
          </w:tcPr>
          <w:p>
            <w:pPr>
              <w:spacing w:after="0"/>
              <w:rPr>
                <w:sz w:val="12"/>
                <w:szCs w:val="12"/>
                <w:color w:val="auto"/>
              </w:rPr>
            </w:pPr>
          </w:p>
        </w:tc>
        <w:tc>
          <w:tcPr>
            <w:tcW w:w="194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Common Stock Warrants</w:t>
            </w:r>
          </w:p>
        </w:tc>
        <w:tc>
          <w:tcPr>
            <w:tcW w:w="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Borders>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Pre-Funded Warrants</w:t>
            </w:r>
          </w:p>
        </w:tc>
        <w:tc>
          <w:tcPr>
            <w:tcW w:w="1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79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50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15,151,518</w:t>
            </w:r>
          </w:p>
        </w:tc>
        <w:tc>
          <w:tcPr>
            <w:tcW w:w="218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36,629,572</w:t>
            </w:r>
          </w:p>
        </w:tc>
        <w:tc>
          <w:tcPr>
            <w:tcW w:w="21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51,781,090</w:t>
            </w:r>
          </w:p>
        </w:tc>
      </w:tr>
      <w:tr>
        <w:trPr>
          <w:trHeight w:val="20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15,151,518</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36,629,572</w:t>
            </w:r>
          </w:p>
        </w:tc>
        <w:tc>
          <w:tcPr>
            <w:tcW w:w="140" w:type="dxa"/>
            <w:vAlign w:val="bottom"/>
          </w:tcPr>
          <w:p>
            <w:pPr>
              <w:spacing w:after="0"/>
              <w:rPr>
                <w:sz w:val="18"/>
                <w:szCs w:val="18"/>
                <w:color w:val="auto"/>
              </w:rPr>
            </w:pPr>
          </w:p>
        </w:tc>
        <w:tc>
          <w:tcPr>
            <w:tcW w:w="19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51,781,090</w:t>
            </w:r>
          </w:p>
        </w:tc>
      </w:tr>
      <w:tr>
        <w:trPr>
          <w:trHeight w:val="20"/>
        </w:trPr>
        <w:tc>
          <w:tcPr>
            <w:tcW w:w="50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March 31, 2026 the Company’s outstanding warrants to purchase shares of common stock consisted of the following:</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446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Date Issued</w:t>
            </w:r>
          </w:p>
        </w:tc>
        <w:tc>
          <w:tcPr>
            <w:tcW w:w="160" w:type="dxa"/>
            <w:vAlign w:val="bottom"/>
          </w:tcPr>
          <w:p>
            <w:pPr>
              <w:spacing w:after="0"/>
              <w:rPr>
                <w:sz w:val="13"/>
                <w:szCs w:val="13"/>
                <w:color w:val="auto"/>
              </w:rPr>
            </w:pPr>
          </w:p>
        </w:tc>
        <w:tc>
          <w:tcPr>
            <w:tcW w:w="200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3"/>
                <w:szCs w:val="13"/>
                <w:color w:val="auto"/>
              </w:rPr>
            </w:pPr>
          </w:p>
        </w:tc>
        <w:tc>
          <w:tcPr>
            <w:tcW w:w="192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400" w:type="dxa"/>
            <w:vAlign w:val="bottom"/>
            <w:tcBorders>
              <w:bottom w:val="single" w:sz="8" w:color="auto"/>
            </w:tcBorders>
          </w:tcPr>
          <w:p>
            <w:pPr>
              <w:spacing w:after="0"/>
              <w:rPr>
                <w:sz w:val="15"/>
                <w:szCs w:val="15"/>
                <w:color w:val="auto"/>
              </w:rPr>
            </w:pPr>
          </w:p>
        </w:tc>
        <w:tc>
          <w:tcPr>
            <w:tcW w:w="44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Common Stock Issuable</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 Purchase Agreement common warrants</w:t>
            </w:r>
          </w:p>
        </w:tc>
        <w:tc>
          <w:tcPr>
            <w:tcW w:w="216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15,151,518</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May 5, 2028</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2021 pre-funded warrants</w:t>
            </w:r>
          </w:p>
        </w:tc>
        <w:tc>
          <w:tcPr>
            <w:tcW w:w="21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509,117</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0.001</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 2030</w:t>
            </w:r>
          </w:p>
        </w:tc>
        <w:tc>
          <w:tcPr>
            <w:tcW w:w="0" w:type="dxa"/>
            <w:vAlign w:val="bottom"/>
          </w:tcPr>
          <w:p>
            <w:pPr>
              <w:spacing w:after="0"/>
              <w:rPr>
                <w:sz w:val="1"/>
                <w:szCs w:val="1"/>
                <w:color w:val="auto"/>
              </w:rPr>
            </w:pPr>
          </w:p>
        </w:tc>
      </w:tr>
      <w:tr>
        <w:trPr>
          <w:trHeight w:val="216"/>
        </w:trPr>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 Purchase Agreement pre-funded warrants</w:t>
            </w:r>
          </w:p>
        </w:tc>
        <w:tc>
          <w:tcPr>
            <w:tcW w:w="216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3,844,153</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0.001</w:t>
            </w:r>
          </w:p>
        </w:tc>
        <w:tc>
          <w:tcPr>
            <w:tcW w:w="2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Purchase Agreement pre-funded warrants</w:t>
            </w:r>
          </w:p>
        </w:tc>
        <w:tc>
          <w:tcPr>
            <w:tcW w:w="21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7,989,516</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0.001</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Underwritten Offering pre-funded warrants</w:t>
            </w:r>
          </w:p>
        </w:tc>
        <w:tc>
          <w:tcPr>
            <w:tcW w:w="216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4,931,507</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0.001</w:t>
            </w:r>
          </w:p>
        </w:tc>
        <w:tc>
          <w:tcPr>
            <w:tcW w:w="2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Underwritten Offering pre-funded warrants</w:t>
            </w:r>
          </w:p>
        </w:tc>
        <w:tc>
          <w:tcPr>
            <w:tcW w:w="21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15,151,515</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0.001</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Exchange Agreement</w:t>
            </w:r>
          </w:p>
        </w:tc>
        <w:tc>
          <w:tcPr>
            <w:tcW w:w="160" w:type="dxa"/>
            <w:vAlign w:val="bottom"/>
            <w:tcBorders>
              <w:bottom w:val="single" w:sz="8" w:color="CFF0FC"/>
            </w:tcBorders>
            <w:shd w:val="clear" w:color="auto" w:fill="CFF0FC"/>
          </w:tcPr>
          <w:p>
            <w:pPr>
              <w:spacing w:after="0"/>
              <w:rPr>
                <w:sz w:val="18"/>
                <w:szCs w:val="18"/>
                <w:color w:val="auto"/>
              </w:rPr>
            </w:pPr>
          </w:p>
        </w:tc>
        <w:tc>
          <w:tcPr>
            <w:tcW w:w="20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4,203,764</w:t>
            </w:r>
          </w:p>
        </w:tc>
        <w:tc>
          <w:tcPr>
            <w:tcW w:w="4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0.001</w:t>
            </w:r>
          </w:p>
        </w:tc>
        <w:tc>
          <w:tcPr>
            <w:tcW w:w="20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9"/>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1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51,781,090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-170815</wp:posOffset>
            </wp:positionV>
            <wp:extent cx="1289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 recognizes compensation expense for all stock-based awards based on the grant-date estimated fair value.</w:t>
      </w:r>
    </w:p>
    <w:p>
      <w:pPr>
        <w:spacing w:after="0" w:line="225" w:lineRule="exact"/>
        <w:rPr>
          <w:sz w:val="20"/>
          <w:szCs w:val="20"/>
          <w:color w:val="auto"/>
        </w:rPr>
      </w:pPr>
    </w:p>
    <w:p>
      <w:pPr>
        <w:ind w:right="20" w:firstLine="599"/>
        <w:spacing w:after="0" w:line="253" w:lineRule="auto"/>
        <w:rPr>
          <w:sz w:val="20"/>
          <w:szCs w:val="20"/>
          <w:color w:val="auto"/>
        </w:rPr>
      </w:pPr>
      <w:r>
        <w:rPr>
          <w:rFonts w:ascii="Times New Roman" w:cs="Times New Roman" w:eastAsia="Times New Roman" w:hAnsi="Times New Roman"/>
          <w:sz w:val="18"/>
          <w:szCs w:val="18"/>
          <w:color w:val="auto"/>
        </w:rPr>
        <w:t xml:space="preserve">The fair value of stock options is determined using the Black-Scholes option pricing model, using assumptions which are subjective and require significant judgment and estimation by management. The risk-free rate assumption was based on observed yields from governmental zero-coupon bonds with an equivalent term. The expected volatility assumption was based on historical volatilities of a group of comparable industry companies whose share prices are publicly available. </w:t>
      </w:r>
      <w:r>
        <w:rPr>
          <w:rFonts w:ascii="Times New Roman" w:cs="Times New Roman" w:eastAsia="Times New Roman" w:hAnsi="Times New Roman"/>
          <w:sz w:val="18"/>
          <w:szCs w:val="18"/>
          <w:color w:val="080808"/>
        </w:rPr>
        <w:t>The peer group was developed based on companies in the pharmaceutical industry.</w:t>
      </w:r>
      <w:r>
        <w:rPr>
          <w:rFonts w:ascii="Times New Roman" w:cs="Times New Roman" w:eastAsia="Times New Roman" w:hAnsi="Times New Roman"/>
          <w:sz w:val="18"/>
          <w:szCs w:val="18"/>
          <w:color w:val="auto"/>
        </w:rPr>
        <w:t xml:space="preserve"> The expected term of stock options represents the weighted-average period that the stock options are expected to be outstanding. Because the Company does not have historical exercise behavior, the Company determined the expected life assumption using the simplified method for stock options granted to employees, which is an average of the options’ ordinary vesting period and the contractual term. For stock options granted to the Company’s board of directors (the “Board”), the Company determined the expected life assumption using the simplified method as the starting point with an average period of 12 months added to take into account the extended range of time of 12 to 18 months that vested stock options granted to Board members may be exercised upon termination. The expected dividend assumption was based on the Company’s history and expectation of dividend payouts. The Company has not paid and does not expect to pay dividends at any time in the foreseeable future. The Company recognizes forfeitures on an actual basis and as such did not estimate forfeitures to calculate stock-based compensation.</w:t>
      </w:r>
    </w:p>
    <w:p>
      <w:pPr>
        <w:spacing w:after="0" w:line="1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Restricted Stock Units (“RSUs”) are measured and recognized based on the quoted market price of our common stock on the date of grant.</w:t>
      </w:r>
    </w:p>
    <w:p>
      <w:pPr>
        <w:spacing w:after="0" w:line="225" w:lineRule="exact"/>
        <w:rPr>
          <w:sz w:val="20"/>
          <w:szCs w:val="20"/>
          <w:color w:val="auto"/>
        </w:rPr>
      </w:pPr>
    </w:p>
    <w:p>
      <w:pPr>
        <w:jc w:val="both"/>
        <w:ind w:right="260" w:firstLine="599"/>
        <w:spacing w:after="0" w:line="261" w:lineRule="auto"/>
        <w:rPr>
          <w:sz w:val="20"/>
          <w:szCs w:val="20"/>
          <w:color w:val="auto"/>
        </w:rPr>
      </w:pPr>
      <w:r>
        <w:rPr>
          <w:rFonts w:ascii="Times New Roman" w:cs="Times New Roman" w:eastAsia="Times New Roman" w:hAnsi="Times New Roman"/>
          <w:sz w:val="18"/>
          <w:szCs w:val="18"/>
          <w:color w:val="auto"/>
        </w:rPr>
        <w:t>On July 10, 2024, the Company held its 2024 Annual Meeting of Stockholders (the “2024 Annual Meeting”). At the 2024 Annual Meeting, the Company’s stockholders approved an amendment to the Company’s 2020 Long Term Incentive Plan (the “2020 Plan”). The 2020 Plan, as amended, (i) reflects an increase in the limit on the aggregate number of shares of the Company’s common stock that may be delivered pursuant to all awards granted under the 2020 Plan by an additional</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3,500,000 shares so that the new aggregate share limit under the 2020 Plan is 17,960,000 shares, and (ii) extends the date through which the Company may grant new awards under the 2020 Plan from November 15, 2030 to April 28, 2034.</w:t>
      </w:r>
    </w:p>
    <w:p>
      <w:pPr>
        <w:spacing w:after="0" w:line="162" w:lineRule="exact"/>
        <w:rPr>
          <w:sz w:val="20"/>
          <w:szCs w:val="20"/>
          <w:color w:val="auto"/>
        </w:rPr>
      </w:pPr>
    </w:p>
    <w:p>
      <w:pPr>
        <w:ind w:right="120" w:firstLine="599"/>
        <w:spacing w:after="0" w:line="266" w:lineRule="auto"/>
        <w:rPr>
          <w:sz w:val="20"/>
          <w:szCs w:val="20"/>
          <w:color w:val="auto"/>
        </w:rPr>
      </w:pPr>
      <w:r>
        <w:rPr>
          <w:rFonts w:ascii="Times New Roman" w:cs="Times New Roman" w:eastAsia="Times New Roman" w:hAnsi="Times New Roman"/>
          <w:sz w:val="18"/>
          <w:szCs w:val="18"/>
          <w:color w:val="auto"/>
        </w:rPr>
        <w:t>The Company’s 2014 Stock Incentive Plan (the “2014 Plan”) was closed to new grants following the approval of the 2020 Plan, and therefore, there were no shares reserved for issuance under the 2014 Plan as of March 31, 2026. The number of shares reserved for issuance under the 2020 Plan and the Company’s Employee Stock Purchase Plan was 3,308,859 and 24,077 shares, respectively, as of March 31, 2026.</w:t>
      </w:r>
    </w:p>
    <w:p>
      <w:pPr>
        <w:spacing w:after="0" w:line="176" w:lineRule="exact"/>
        <w:rPr>
          <w:sz w:val="20"/>
          <w:szCs w:val="20"/>
          <w:color w:val="auto"/>
        </w:rPr>
      </w:pPr>
    </w:p>
    <w:p>
      <w:pPr>
        <w:ind w:right="320" w:firstLine="599"/>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was recognized in our unaudited condensed consolidated statements of operations and comprehensive loss as follows (in thousands):</w:t>
      </w:r>
    </w:p>
    <w:p>
      <w:pPr>
        <w:spacing w:after="0" w:line="155"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6600" w:type="dxa"/>
            <w:vAlign w:val="bottom"/>
          </w:tcPr>
          <w:p>
            <w:pPr>
              <w:spacing w:after="0"/>
              <w:rPr>
                <w:sz w:val="12"/>
                <w:szCs w:val="12"/>
                <w:color w:val="auto"/>
              </w:rPr>
            </w:pPr>
          </w:p>
        </w:tc>
        <w:tc>
          <w:tcPr>
            <w:tcW w:w="142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tcPr>
          <w:p>
            <w:pPr>
              <w:jc w:val="right"/>
              <w:ind w:right="9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shd w:val="clear" w:color="auto" w:fill="CFF0FC"/>
          </w:tcPr>
          <w:p>
            <w:pPr>
              <w:jc w:val="right"/>
              <w:ind w:right="12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1,085</w:t>
            </w:r>
          </w:p>
        </w:tc>
        <w:tc>
          <w:tcPr>
            <w:tcW w:w="78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1,019</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1,117</w:t>
            </w:r>
          </w:p>
        </w:tc>
        <w:tc>
          <w:tcPr>
            <w:tcW w:w="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1,845</w:t>
            </w:r>
          </w:p>
        </w:tc>
      </w:tr>
      <w:tr>
        <w:trPr>
          <w:trHeight w:val="249"/>
        </w:trPr>
        <w:tc>
          <w:tcPr>
            <w:tcW w:w="6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420" w:type="dxa"/>
            <w:vAlign w:val="bottom"/>
            <w:tcBorders>
              <w:bottom w:val="single" w:sz="8" w:color="auto"/>
            </w:tcBorders>
            <w:shd w:val="clear" w:color="auto" w:fill="CFF0FC"/>
          </w:tcPr>
          <w:p>
            <w:pPr>
              <w:jc w:val="right"/>
              <w:ind w:right="12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2,202</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-25400</wp:posOffset>
            </wp:positionV>
            <wp:extent cx="1797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1797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Net Loss Per Share</w:t>
      </w:r>
    </w:p>
    <w:p>
      <w:pPr>
        <w:spacing w:after="0" w:line="121" w:lineRule="exact"/>
        <w:rPr>
          <w:sz w:val="20"/>
          <w:szCs w:val="20"/>
          <w:color w:val="auto"/>
        </w:rPr>
      </w:pPr>
    </w:p>
    <w:p>
      <w:pPr>
        <w:ind w:right="180" w:firstLine="599"/>
        <w:spacing w:after="0" w:line="266" w:lineRule="auto"/>
        <w:rPr>
          <w:sz w:val="20"/>
          <w:szCs w:val="20"/>
          <w:color w:val="auto"/>
        </w:rPr>
      </w:pPr>
      <w:r>
        <w:rPr>
          <w:rFonts w:ascii="Times New Roman" w:cs="Times New Roman" w:eastAsia="Times New Roman" w:hAnsi="Times New Roman"/>
          <w:sz w:val="18"/>
          <w:szCs w:val="18"/>
          <w:color w:val="auto"/>
        </w:rPr>
        <w:t>Basic and diluted net loss per share are calculated using the two-class method in accordance with ASC Topic 260, Earnings Per Share. The two-class method allocates undistributed losses to the Company’s outstanding common stock, and the Preferred Stock, based on each class’s proportionate share of the total weighted-average shares outstanding. Since the Company has never declared dividends, net loss and undistributed losses are equivalent.</w:t>
      </w:r>
    </w:p>
    <w:p>
      <w:pPr>
        <w:spacing w:after="0" w:line="95" w:lineRule="exact"/>
        <w:rPr>
          <w:sz w:val="20"/>
          <w:szCs w:val="20"/>
          <w:color w:val="auto"/>
        </w:rPr>
      </w:pPr>
    </w:p>
    <w:p>
      <w:pPr>
        <w:ind w:right="120" w:firstLine="599"/>
        <w:spacing w:after="0" w:line="256"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attributable to common stockholders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securities outstanding for the period determined using the treasury-stock and if-converted methods. The process is used for both common stock and Preferred Stock. As the rights and preferences of the Preferred Stock are substantially identical to each other, they are considered a single class of common stock for earnings per share purposes.</w:t>
      </w:r>
    </w:p>
    <w:p>
      <w:pPr>
        <w:spacing w:after="0" w:line="187" w:lineRule="exact"/>
        <w:rPr>
          <w:sz w:val="20"/>
          <w:szCs w:val="20"/>
          <w:color w:val="auto"/>
        </w:rPr>
      </w:pPr>
    </w:p>
    <w:p>
      <w:pPr>
        <w:ind w:firstLine="599"/>
        <w:spacing w:after="0" w:line="258" w:lineRule="auto"/>
        <w:rPr>
          <w:sz w:val="20"/>
          <w:szCs w:val="20"/>
          <w:color w:val="auto"/>
        </w:rPr>
      </w:pPr>
      <w:r>
        <w:rPr>
          <w:rFonts w:ascii="Times New Roman" w:cs="Times New Roman" w:eastAsia="Times New Roman" w:hAnsi="Times New Roman"/>
          <w:sz w:val="18"/>
          <w:szCs w:val="18"/>
          <w:color w:val="auto"/>
        </w:rPr>
        <w:t>For purposes of the diluted net loss per share calculation, incentive stock options, restricted stock units and common warrants are considered to be potentially dilutive securities and are excluded from the calculation of diluted net loss per share because their effect would be anti-dilutive. Basic weighted average shares outstanding for the three months ended March 31, 2026 and 2025 include 36,629,572 and 17,274,293 shares, respectively, underlying pre-funded warrants to purchase common shares. As the shares underlying these pre-funded warrants can be issued for little consideration (an exercise price per share equal to $0.001 per share), these shares are deemed to be issued for purposes of basic earnings per share.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for our common stock and Preferred Stock is as follows:</w:t>
      </w:r>
    </w:p>
    <w:p>
      <w:pPr>
        <w:spacing w:after="0" w:line="219"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26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7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2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7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7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7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112,424,211</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77,126,763</w:t>
            </w:r>
          </w:p>
        </w:tc>
        <w:tc>
          <w:tcPr>
            <w:tcW w:w="0" w:type="dxa"/>
            <w:vAlign w:val="bottom"/>
          </w:tcPr>
          <w:p>
            <w:pPr>
              <w:spacing w:after="0"/>
              <w:rPr>
                <w:sz w:val="1"/>
                <w:szCs w:val="1"/>
                <w:color w:val="auto"/>
              </w:rPr>
            </w:pPr>
          </w:p>
        </w:tc>
      </w:tr>
      <w:tr>
        <w:trPr>
          <w:trHeight w:val="198"/>
        </w:trPr>
        <w:tc>
          <w:tcPr>
            <w:tcW w:w="7200" w:type="dxa"/>
            <w:vAlign w:val="bottom"/>
          </w:tcPr>
          <w:p>
            <w:pPr>
              <w:spacing w:after="0" w:line="198" w:lineRule="exact"/>
              <w:rPr>
                <w:sz w:val="20"/>
                <w:szCs w:val="20"/>
                <w:color w:val="auto"/>
              </w:rPr>
            </w:pPr>
            <w:r>
              <w:rPr>
                <w:rFonts w:ascii="Times New Roman" w:cs="Times New Roman" w:eastAsia="Times New Roman" w:hAnsi="Times New Roman"/>
                <w:sz w:val="17"/>
                <w:szCs w:val="17"/>
                <w:color w:val="auto"/>
              </w:rPr>
              <w:t>Weighted-average shares outstanding of Series X and Series X</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non-voting convertible preferred</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stock, basic and diluted</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114,508</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114,508</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used in the calculation of basic and diluted loss per share</w:t>
            </w:r>
          </w:p>
        </w:tc>
        <w:tc>
          <w:tcPr>
            <w:tcW w:w="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(39,025)</w:t>
            </w:r>
          </w:p>
        </w:tc>
        <w:tc>
          <w:tcPr>
            <w:tcW w:w="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0" w:type="dxa"/>
            <w:vAlign w:val="bottom"/>
          </w:tcPr>
          <w:p>
            <w:pPr>
              <w:spacing w:after="0"/>
              <w:rPr>
                <w:sz w:val="1"/>
                <w:szCs w:val="1"/>
                <w:color w:val="auto"/>
              </w:rPr>
            </w:pPr>
          </w:p>
        </w:tc>
      </w:tr>
      <w:tr>
        <w:trPr>
          <w:trHeight w:val="20"/>
        </w:trPr>
        <w:tc>
          <w:tcPr>
            <w:tcW w:w="7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loss available to common stock</w:t>
            </w: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(36,935)</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common stock, basic and diluted</w:t>
            </w:r>
          </w:p>
        </w:tc>
        <w:tc>
          <w:tcPr>
            <w:tcW w:w="62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60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7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loss available to Series X and Series X</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non-voting convertible preferred stock</w:t>
            </w: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20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5"/>
                <w:szCs w:val="15"/>
                <w:color w:val="auto"/>
              </w:rPr>
              <w:t>Basic and diluted earnings per share of Series X and Series X</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5"/>
                <w:szCs w:val="15"/>
                <w:color w:val="auto"/>
              </w:rPr>
              <w:t xml:space="preserve"> non-voting convertible preferred</w:t>
            </w:r>
          </w:p>
        </w:tc>
        <w:tc>
          <w:tcPr>
            <w:tcW w:w="62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600" w:type="dxa"/>
            <w:vAlign w:val="bottom"/>
            <w:gridSpan w:val="2"/>
            <w:vMerge w:val="restart"/>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4"/>
        </w:trPr>
        <w:tc>
          <w:tcPr>
            <w:tcW w:w="720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stock</w:t>
            </w:r>
          </w:p>
        </w:tc>
        <w:tc>
          <w:tcPr>
            <w:tcW w:w="620" w:type="dxa"/>
            <w:vAlign w:val="bottom"/>
            <w:gridSpan w:val="2"/>
            <w:vMerge w:val="continue"/>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600" w:type="dxa"/>
            <w:vAlign w:val="bottom"/>
            <w:gridSpan w:val="2"/>
            <w:vMerge w:val="continue"/>
            <w:shd w:val="clear" w:color="auto" w:fill="CFF0FC"/>
          </w:tcPr>
          <w:p>
            <w:pPr>
              <w:spacing w:after="0"/>
              <w:rPr>
                <w:sz w:val="18"/>
                <w:szCs w:val="18"/>
                <w:color w:val="auto"/>
              </w:rPr>
            </w:pPr>
          </w:p>
        </w:tc>
        <w:tc>
          <w:tcPr>
            <w:tcW w:w="14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-1062355</wp:posOffset>
            </wp:positionV>
            <wp:extent cx="1289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-1045210</wp:posOffset>
            </wp:positionV>
            <wp:extent cx="1289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-599440</wp:posOffset>
            </wp:positionV>
            <wp:extent cx="1289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-582295</wp:posOffset>
            </wp:positionV>
            <wp:extent cx="1289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-25400</wp:posOffset>
            </wp:positionV>
            <wp:extent cx="1289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1289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78" w:lineRule="exact"/>
        <w:rPr>
          <w:sz w:val="20"/>
          <w:szCs w:val="20"/>
          <w:color w:val="auto"/>
        </w:rPr>
      </w:pPr>
    </w:p>
    <w:p>
      <w:pPr>
        <w:jc w:val="both"/>
        <w:ind w:firstLine="599"/>
        <w:spacing w:after="0" w:line="266" w:lineRule="auto"/>
        <w:rPr>
          <w:sz w:val="20"/>
          <w:szCs w:val="20"/>
          <w:color w:val="auto"/>
        </w:rPr>
      </w:pPr>
      <w:r>
        <w:rPr>
          <w:rFonts w:ascii="Times New Roman" w:cs="Times New Roman" w:eastAsia="Times New Roman" w:hAnsi="Times New Roman"/>
          <w:sz w:val="18"/>
          <w:szCs w:val="18"/>
          <w:color w:val="auto"/>
        </w:rPr>
        <w:t>The following table presents potentially dilutive securities outstanding based on the market price of the Company’s common stock as of March 31, 2026 and 2025 that were excluded from the computation of diluted net loss per share because their inclusion would have been anti-dilutive. These securities consist of incentive stock options, restricted stock units and common warrants outstanding during the respective periods.</w:t>
      </w:r>
    </w:p>
    <w:p>
      <w:pPr>
        <w:spacing w:after="0" w:line="277"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14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7280" w:type="dxa"/>
            <w:vAlign w:val="bottom"/>
          </w:tcPr>
          <w:p>
            <w:pPr>
              <w:spacing w:after="0"/>
              <w:rPr>
                <w:sz w:val="12"/>
                <w:szCs w:val="12"/>
                <w:color w:val="auto"/>
              </w:rPr>
            </w:pPr>
          </w:p>
        </w:tc>
        <w:tc>
          <w:tcPr>
            <w:tcW w:w="1920" w:type="dxa"/>
            <w:vAlign w:val="bottom"/>
            <w:tcBorders>
              <w:top w:val="single" w:sz="8" w:color="auto"/>
            </w:tcBorders>
          </w:tcPr>
          <w:p>
            <w:pPr>
              <w:jc w:val="right"/>
              <w:ind w:right="7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40" w:type="dxa"/>
            <w:vAlign w:val="bottom"/>
            <w:tcBorders>
              <w:top w:val="single" w:sz="8" w:color="auto"/>
            </w:tcBorders>
            <w:gridSpan w:val="2"/>
          </w:tcPr>
          <w:p>
            <w:pPr>
              <w:jc w:val="right"/>
              <w:ind w:right="77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7280" w:type="dxa"/>
            <w:vAlign w:val="bottom"/>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r>
      <w:tr>
        <w:trPr>
          <w:trHeight w:val="216"/>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 and other equity awards</w:t>
            </w:r>
          </w:p>
        </w:tc>
        <w:tc>
          <w:tcPr>
            <w:tcW w:w="19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10,952,838</w:t>
            </w:r>
          </w:p>
        </w:tc>
        <w:tc>
          <w:tcPr>
            <w:tcW w:w="20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3,780,189</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Common and preferred warrants outstanding</w:t>
            </w:r>
          </w:p>
        </w:tc>
        <w:tc>
          <w:tcPr>
            <w:tcW w:w="19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3,117,540</w:t>
            </w:r>
          </w:p>
        </w:tc>
      </w:tr>
      <w:tr>
        <w:trPr>
          <w:trHeight w:val="250"/>
        </w:trPr>
        <w:tc>
          <w:tcPr>
            <w:tcW w:w="7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10,952,838</w:t>
            </w:r>
          </w:p>
        </w:tc>
        <w:tc>
          <w:tcPr>
            <w:tcW w:w="14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6,897,729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-24765</wp:posOffset>
            </wp:positionV>
            <wp:extent cx="93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93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21" w:lineRule="exact"/>
        <w:rPr>
          <w:sz w:val="20"/>
          <w:szCs w:val="20"/>
          <w:color w:val="auto"/>
        </w:rPr>
      </w:pPr>
    </w:p>
    <w:p>
      <w:pPr>
        <w:ind w:right="260" w:firstLine="599"/>
        <w:spacing w:after="0" w:line="261" w:lineRule="auto"/>
        <w:rPr>
          <w:sz w:val="20"/>
          <w:szCs w:val="20"/>
          <w:color w:val="auto"/>
        </w:rPr>
      </w:pPr>
      <w:r>
        <w:rPr>
          <w:rFonts w:ascii="Times New Roman" w:cs="Times New Roman" w:eastAsia="Times New Roman" w:hAnsi="Times New Roman"/>
          <w:sz w:val="18"/>
          <w:szCs w:val="18"/>
          <w:color w:val="auto"/>
        </w:rPr>
        <w:t>On March 30, 2026, MSI BVF SPV, LLC provided us notice of its intention to exercise 87,300 pre-funded warrants for 87,269 shares of the Company’s common stock pursuant to a cashless exercise provision. The common shares were issued on April 10, 2026, pursuant to the terms of an underwriting agreement, dated October 29, 2024, by and between the Company and Leerink Partners, LLC, as representative of the several underwriters named therein and did not result in the receipt of cash proceeds by the Company.</w:t>
      </w:r>
    </w:p>
    <w:p>
      <w:pPr>
        <w:spacing w:after="0" w:line="180" w:lineRule="exact"/>
        <w:rPr>
          <w:sz w:val="20"/>
          <w:szCs w:val="20"/>
          <w:color w:val="auto"/>
        </w:rPr>
      </w:pPr>
    </w:p>
    <w:p>
      <w:pPr>
        <w:ind w:right="40" w:firstLine="599"/>
        <w:spacing w:after="0" w:line="230" w:lineRule="auto"/>
        <w:rPr>
          <w:sz w:val="20"/>
          <w:szCs w:val="20"/>
          <w:color w:val="auto"/>
        </w:rPr>
      </w:pPr>
      <w:r>
        <w:rPr>
          <w:rFonts w:ascii="Times New Roman" w:cs="Times New Roman" w:eastAsia="Times New Roman" w:hAnsi="Times New Roman"/>
          <w:sz w:val="18"/>
          <w:szCs w:val="18"/>
          <w:color w:val="auto"/>
        </w:rPr>
        <w:t>On March 30, 2026, Biotechnology Value Fund, L.P., Biotechnology Value Fund II, L.P., Biotechnology Value Trading Fund OS LP and MSI BVF SPV, LLC provided us notice of its intention to convert an aggregate of 22,479 shares of the Company’s Series X</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Convertible Preferred Stock for an aggregate of 1,248,832 shares of the Company’s common stock in accordance with the Certificate of Designation of Preferences, Rights and Limitations of the Series X</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Non-Voting Convertible Preferred Stock. The conversion was completed on April 9, 2026, and did not result in the receipt of cash proceeds by the Company.</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599"/>
        <w:spacing w:after="0" w:line="254" w:lineRule="auto"/>
        <w:rPr>
          <w:sz w:val="20"/>
          <w:szCs w:val="20"/>
          <w:color w:val="auto"/>
        </w:rPr>
      </w:pPr>
      <w:r>
        <w:rPr>
          <w:rFonts w:ascii="Times New Roman" w:cs="Times New Roman" w:eastAsia="Times New Roman" w:hAnsi="Times New Roman"/>
          <w:sz w:val="18"/>
          <w:szCs w:val="18"/>
          <w:color w:val="auto"/>
        </w:rPr>
        <w:t xml:space="preserve">The unaudited interim condensed consolidated financial statements and this Management’s Discussion and Analysis of Financial Condition and Results of Operations should be read together with the Notes to Condensed Consolidated Financial Statements included in this Quarterly Report on Form 10-Q and our audited consolidated financial statements and accompanying notes for the year ended December 31, 2025 included in the Annual Report on Form 10-K filed by the Company with the Securities and Exchange Commission (the “SEC”) on March 19, 2026 (the “2025 Form 10-K”). In addition to historical information, this discussion and analysis contains forward-looking statements within the meaning of the Private Securities Litigation Reform Act of 1995. Please see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 for a discussion of certain risk factors applicable to our business, financial condition, and results of operations. Operating results are not necessarily indicative of results that may occur for the full fiscal year or any other future period. See also “Special Note Regarding Forward-Looking Statements” in this Quarterly Report on Form 10-Q. Unless otherwise indicated, references to the terms “Eledon”, the “Company”, “we”, “our”, and “us” refer to Eledon Pharmaceuticals, Inc.</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ELEDON PHARMACEUTICALS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99"/>
        <w:spacing w:after="0" w:line="258" w:lineRule="auto"/>
        <w:rPr>
          <w:sz w:val="20"/>
          <w:szCs w:val="20"/>
          <w:color w:val="auto"/>
        </w:rPr>
      </w:pPr>
      <w:r>
        <w:rPr>
          <w:rFonts w:ascii="Times New Roman" w:cs="Times New Roman" w:eastAsia="Times New Roman" w:hAnsi="Times New Roman"/>
          <w:sz w:val="18"/>
          <w:szCs w:val="18"/>
          <w:color w:val="auto"/>
        </w:rPr>
        <w:t>Eledon is a clinical stage biotechnology company using our immunology expertise in targeting the CD40 Ligand (“CD40L”) pathway to develop therapies to protect transplanted organs and prevent rejection, and to treat amyotrophic lateral sclerosis (“ALS”). Our lead compound in development is tegoprubart, an IgG1, anti-CD40L antibody with high affinity for the CD40L, a well-validated biological target that we believe has broad therapeutic potential. We believe the central role of CD40L signaling in both adaptive and innate immune cell activation and function positions it as an attractive target for non-lymphocyte depleting, immunomodulatory therapeutic intervention.</w:t>
      </w:r>
    </w:p>
    <w:p>
      <w:pPr>
        <w:spacing w:after="0" w:line="183"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auto"/>
        </w:rPr>
        <w:t>Tegoprubart is engineered to potentially both improve safety and provide pharmacokinetic, pharmacodynamic, and dosing advantages compared to other anti-CD40 approaches. The CD40L/CD40 pathway is recognized for its prominent role in immune regulation. CD40L is primarily expressed on activated CD4+ T cells, platelets and endothelial cells while the CD40 receptor is constitutively expressed on antigen presenting cells such as macrophages and dendritic cells, as well as B cells. By blocking CD40L and not the CD40 receptor, tegoprubart inhibits both the CD40 and CD11 costimulatory signaling pathways, providing the potential for improved efficacy compared to anti-CD40 receptor approaches. Blocking CD40L also increases polarization of CD4+ lymphocytes to Tregs, a specialized subpopulation of T cells that act to suppress an immune response, thus creating a more tolerogenic environment, which may play a therapeutic role in autoimmune diseases and in the prevention of allograft rejection after solid organ transplantation.</w:t>
      </w:r>
    </w:p>
    <w:p>
      <w:pPr>
        <w:spacing w:after="0" w:line="192" w:lineRule="exact"/>
        <w:rPr>
          <w:sz w:val="20"/>
          <w:szCs w:val="20"/>
          <w:color w:val="auto"/>
        </w:rPr>
      </w:pPr>
    </w:p>
    <w:p>
      <w:pPr>
        <w:jc w:val="both"/>
        <w:ind w:right="140" w:firstLine="599"/>
        <w:spacing w:after="0" w:line="261" w:lineRule="auto"/>
        <w:rPr>
          <w:sz w:val="20"/>
          <w:szCs w:val="20"/>
          <w:color w:val="auto"/>
        </w:rPr>
      </w:pPr>
      <w:r>
        <w:rPr>
          <w:rFonts w:ascii="Times New Roman" w:cs="Times New Roman" w:eastAsia="Times New Roman" w:hAnsi="Times New Roman"/>
          <w:sz w:val="18"/>
          <w:szCs w:val="18"/>
          <w:color w:val="auto"/>
        </w:rPr>
        <w:t>Tegoprubart is designed to negate the risk of thrombolytic events seen in the first generation of anti-CD40L antibodies by introducing structural modifications that have been shown in preclinical models to eliminate binding to the Fcγ receptors associated with platelet activation without altering the binding of tegoprubart to CD40L. In non-human primate studies, dosing of tegoprubart up to 200 mg/kg per week for 26 weeks, demonstrated no adverse events regarding coagulation, platelet activation or thromboembolism.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ind w:right="140" w:firstLine="599"/>
        <w:spacing w:after="0" w:line="277" w:lineRule="auto"/>
        <w:rPr>
          <w:sz w:val="20"/>
          <w:szCs w:val="20"/>
          <w:color w:val="auto"/>
        </w:rPr>
      </w:pPr>
      <w:r>
        <w:rPr>
          <w:rFonts w:ascii="Times New Roman" w:cs="Times New Roman" w:eastAsia="Times New Roman" w:hAnsi="Times New Roman"/>
          <w:sz w:val="17"/>
          <w:szCs w:val="17"/>
          <w:color w:val="auto"/>
        </w:rPr>
        <w:t>Our business strategy is to optimize the clinical and commercial value of tegoprubart and become a global biopharmaceutical company with a focused immunology franchise. Our strategy is to develop tegoprubart for the prevention of rejection of allograft (i.e., transplanting an organ from one human to another) and xenograft (i.e., transplanting an organ from an animal to a human) organs and cells, and for the treatment of ALS. We selected our indications based on preclinical and clinical data that was generated with either tegoprubart or historical anti-CD40L molecules. We remain committed to further progressing ALS clinical development; however, we are unable to continue developing tegoprubart for ALS without additional funding.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121" w:lineRule="exact"/>
        <w:rPr>
          <w:sz w:val="20"/>
          <w:szCs w:val="20"/>
          <w:color w:val="auto"/>
        </w:rPr>
      </w:pPr>
    </w:p>
    <w:p>
      <w:pPr>
        <w:ind w:right="100" w:firstLine="599"/>
        <w:spacing w:after="0" w:line="266" w:lineRule="auto"/>
        <w:rPr>
          <w:sz w:val="20"/>
          <w:szCs w:val="20"/>
          <w:color w:val="auto"/>
        </w:rPr>
      </w:pPr>
      <w:r>
        <w:rPr>
          <w:rFonts w:ascii="Times New Roman" w:cs="Times New Roman" w:eastAsia="Times New Roman" w:hAnsi="Times New Roman"/>
          <w:sz w:val="18"/>
          <w:szCs w:val="18"/>
          <w:color w:val="auto"/>
        </w:rPr>
        <w:t xml:space="preserve">In September 2020, we acquired Anelixis Therapeutics, Inc. (“Anelixis”), the company that owned and controlled the intellectual property related to tegoprubart. See </w:t>
      </w:r>
      <w:r>
        <w:rPr>
          <w:rFonts w:ascii="Times New Roman" w:cs="Times New Roman" w:eastAsia="Times New Roman" w:hAnsi="Times New Roman"/>
          <w:sz w:val="18"/>
          <w:szCs w:val="18"/>
          <w:i w:val="1"/>
          <w:iCs w:val="1"/>
          <w:color w:val="auto"/>
        </w:rPr>
        <w:t>Note 7. Commitments and Contingencies</w:t>
      </w:r>
      <w:r>
        <w:rPr>
          <w:rFonts w:ascii="Times New Roman" w:cs="Times New Roman" w:eastAsia="Times New Roman" w:hAnsi="Times New Roman"/>
          <w:sz w:val="18"/>
          <w:szCs w:val="18"/>
          <w:color w:val="auto"/>
        </w:rPr>
        <w:t xml:space="preserve"> of the Notes to Condensed Consolidated Financial Statements included in this Quarterly Report on Form 10-Q for further details of grants and licenses related to this acquisition.</w:t>
      </w:r>
    </w:p>
    <w:p>
      <w:pPr>
        <w:spacing w:after="0" w:line="176" w:lineRule="exact"/>
        <w:rPr>
          <w:sz w:val="20"/>
          <w:szCs w:val="20"/>
          <w:color w:val="auto"/>
        </w:rPr>
      </w:pPr>
    </w:p>
    <w:p>
      <w:pPr>
        <w:ind w:right="160" w:firstLine="599"/>
        <w:spacing w:after="0" w:line="282" w:lineRule="auto"/>
        <w:rPr>
          <w:sz w:val="20"/>
          <w:szCs w:val="20"/>
          <w:color w:val="auto"/>
        </w:rPr>
      </w:pPr>
      <w:r>
        <w:rPr>
          <w:rFonts w:ascii="Times New Roman" w:cs="Times New Roman" w:eastAsia="Times New Roman" w:hAnsi="Times New Roman"/>
          <w:sz w:val="18"/>
          <w:szCs w:val="18"/>
          <w:color w:val="auto"/>
        </w:rPr>
        <w:t>Prior to our acquisition of Anelixis, we focused on developing medicines for patients with disorders of the ear, nose, and throat (“ENT”). In June 2020, we announced that our lead program did not achieve statistical significance for the primary</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efficacy endpoints in the treatment of acute otitis media. As a result of this failure to achieve the primary study endpoint, we suspended the clinical development of our legacy ENT assets while we assessed potential development strategies. Following the June 2020 announcement, we significantly curtailed development expenses as we sought to identify strategic alternatives that would maximize stockholder value. As a result of these activities, we acquired Anelixis and raised additional capital in September 2020, as described above. After acquiring Anelixis, we terminated our ENT activities and returned our product rights to the original license holders in July 2021.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of Tegoprubart for the Prevention of Allograft Rejection in Kidney Transplantation</w:t>
      </w:r>
    </w:p>
    <w:p>
      <w:pPr>
        <w:spacing w:after="0" w:line="121" w:lineRule="exact"/>
        <w:rPr>
          <w:sz w:val="20"/>
          <w:szCs w:val="20"/>
          <w:color w:val="auto"/>
        </w:rPr>
      </w:pPr>
    </w:p>
    <w:p>
      <w:pPr>
        <w:ind w:right="60" w:firstLine="599"/>
        <w:spacing w:after="0" w:line="256" w:lineRule="auto"/>
        <w:rPr>
          <w:sz w:val="20"/>
          <w:szCs w:val="20"/>
          <w:color w:val="auto"/>
        </w:rPr>
      </w:pPr>
      <w:r>
        <w:rPr>
          <w:rFonts w:ascii="Times New Roman" w:cs="Times New Roman" w:eastAsia="Times New Roman" w:hAnsi="Times New Roman"/>
          <w:sz w:val="18"/>
          <w:szCs w:val="18"/>
          <w:color w:val="auto"/>
        </w:rPr>
        <w:t>In January 2023, we announced plans to prioritize and focus resources on our kidney transplantation programs. We are first focusing on kidney transplantation as this is the most common type of solid organ transplantation in the U.S. with an estimated 270,000 Americans living with a transplanted kidney. There are an estimated 27,000 kidneys transplanted annually in the U.S. Approximately 100,000 people in the U.S. are on a waiting list where they typically wait an average 3-5 years for a kidney transplant while about 5,000 people in the U.S. in need of a kidney transplant die each year waiting for a suitable kidney. Approximately 11% of U.S. people on the waiting list are waiting for a repeat transplant. There remains a critical shortage of kidneys and other organs available for transplantation.</w:t>
      </w:r>
    </w:p>
    <w:p>
      <w:pPr>
        <w:spacing w:after="0" w:line="187" w:lineRule="exact"/>
        <w:rPr>
          <w:sz w:val="20"/>
          <w:szCs w:val="20"/>
          <w:color w:val="auto"/>
        </w:rPr>
      </w:pPr>
    </w:p>
    <w:p>
      <w:pPr>
        <w:ind w:right="40" w:firstLine="599"/>
        <w:spacing w:after="0" w:line="253" w:lineRule="auto"/>
        <w:rPr>
          <w:sz w:val="20"/>
          <w:szCs w:val="20"/>
          <w:color w:val="auto"/>
        </w:rPr>
      </w:pPr>
      <w:r>
        <w:rPr>
          <w:rFonts w:ascii="Times New Roman" w:cs="Times New Roman" w:eastAsia="Times New Roman" w:hAnsi="Times New Roman"/>
          <w:sz w:val="18"/>
          <w:szCs w:val="18"/>
          <w:color w:val="auto"/>
        </w:rPr>
        <w:t>There has been little innovation in immunosuppression therapy for organ transplant patients over the past 30 years. The standard of care immunosuppressive drugs used post-transplant have been shown to reduce the risk of organ rejection, but they are also associated with potentially toxic side effects. Organ transplant recipients require immunosuppression on a lifelong basis, and any disruption in the immunosuppression therapy can trigger transplant rejection. Calcineurin inhibitors (“CNI”s) are a critical component of most immunosuppressive regimens to prevent acute and long-term kidney transplant rejection. However, chronic exposure to CNIs (tacrolimus is the drug most commonly used) is associated with nephrotoxicity, hypertension, new onset diabetes due to pancreatic beta cell toxicity, as well as central nervous system (“CNS”) side effects, like tremor. Over time, these CNI side effects may significantly damage the transplanted kidneys or result in a requirement for reduced exposures to CNIs which can lead to an increased risk of rejection. Moreover, CNS side effects like tremors may result in patients decreasing their adherence to their medicines. Today, an implanted kidney is expected to fail within 10-15 years on average using currently available immunosuppression options. The fact that American transplant patients are on average in their 50s means that many of them will ultimately need a second or even third transplant procedure during their lifetime or a return to dialysis.</w:t>
      </w:r>
    </w:p>
    <w:p>
      <w:pPr>
        <w:spacing w:after="0" w:line="194" w:lineRule="exact"/>
        <w:rPr>
          <w:sz w:val="20"/>
          <w:szCs w:val="20"/>
          <w:color w:val="auto"/>
        </w:rPr>
      </w:pPr>
    </w:p>
    <w:p>
      <w:pPr>
        <w:ind w:right="20" w:firstLine="599"/>
        <w:spacing w:after="0" w:line="261" w:lineRule="auto"/>
        <w:rPr>
          <w:sz w:val="20"/>
          <w:szCs w:val="20"/>
          <w:color w:val="auto"/>
        </w:rPr>
      </w:pPr>
      <w:r>
        <w:rPr>
          <w:rFonts w:ascii="Times New Roman" w:cs="Times New Roman" w:eastAsia="Times New Roman" w:hAnsi="Times New Roman"/>
          <w:sz w:val="18"/>
          <w:szCs w:val="18"/>
          <w:color w:val="auto"/>
        </w:rPr>
        <w:t>The central role of CD40L signaling in generating pro-inflammatory responses makes it a highly attractive candidate for therapeutic intervention in the protection of transplanted organs and prevention of transplant rejection. Results from prior studies demonstrate that targeting and blocking CD40L has the potential for better efficacy and improved safety, including reduced risk of nephrotoxicity, diabetes, hypertension, and other side effects associated with standard-of-care CNIs such as tacrolimus.</w:t>
      </w:r>
    </w:p>
    <w:p>
      <w:pPr>
        <w:spacing w:after="0" w:line="180" w:lineRule="exact"/>
        <w:rPr>
          <w:sz w:val="20"/>
          <w:szCs w:val="20"/>
          <w:color w:val="auto"/>
        </w:rPr>
      </w:pPr>
    </w:p>
    <w:p>
      <w:pPr>
        <w:ind w:firstLine="599"/>
        <w:spacing w:after="0" w:line="256" w:lineRule="auto"/>
        <w:rPr>
          <w:sz w:val="20"/>
          <w:szCs w:val="20"/>
          <w:color w:val="auto"/>
        </w:rPr>
      </w:pPr>
      <w:r>
        <w:rPr>
          <w:rFonts w:ascii="Times New Roman" w:cs="Times New Roman" w:eastAsia="Times New Roman" w:hAnsi="Times New Roman"/>
          <w:sz w:val="18"/>
          <w:szCs w:val="18"/>
          <w:color w:val="auto"/>
        </w:rPr>
        <w:t>Tegoprubart seeks to address challenges associated with current immunosuppressive transplantation regimens using CNI-based therapies. The ability to prevent acute and chronic transplant rejection without the need for CNIs has the potential to transform the clinical management of preventing graft rejection by mitigating the adverse events associated with CNIs and improving long-term graft survival, thus potentially decreasing the need for repeat kidney transplants and increasing organ availability for other patients on the wait list. By identifying and advancing novel strategies in immunosuppression including targeting the CD40L pathway, we may be able to help organs remain functional for longer and potentially throughout the natural lifespan of each recipient.</w:t>
      </w:r>
    </w:p>
    <w:p>
      <w:pPr>
        <w:spacing w:after="0" w:line="187" w:lineRule="exact"/>
        <w:rPr>
          <w:sz w:val="20"/>
          <w:szCs w:val="20"/>
          <w:color w:val="auto"/>
        </w:rPr>
      </w:pPr>
    </w:p>
    <w:p>
      <w:pPr>
        <w:ind w:right="60" w:firstLine="599"/>
        <w:spacing w:after="0" w:line="277" w:lineRule="auto"/>
        <w:rPr>
          <w:sz w:val="20"/>
          <w:szCs w:val="20"/>
          <w:color w:val="auto"/>
        </w:rPr>
      </w:pPr>
      <w:r>
        <w:rPr>
          <w:rFonts w:ascii="Times New Roman" w:cs="Times New Roman" w:eastAsia="Times New Roman" w:hAnsi="Times New Roman"/>
          <w:sz w:val="17"/>
          <w:szCs w:val="17"/>
          <w:color w:val="auto"/>
        </w:rPr>
        <w:t>We have received regulatory approvals in the United States, Canada, the United Kingdom and Australia, for a Phase 1b clinical trial of tegoprubart in up to 36 subjects, replacing tacrolimus as an immunosuppressive regimen component in patients undergoing de novo kidney transplantation. Each participant will receive rabbit antithymocyte globulin induction and a maintenance regimen consisting of tegoprubart, mycophenolate mofetil, and corticosteroids. The primary endpoint of the study is safety. Other endpoints include glomerular filtration rate (“eGFR”), characterizing the pharmacokinetic profile of tegoprubart, and the incidence of biopsy proven rejection. The first subject in the Phase 1b study was dosed in July 2022.</w:t>
      </w:r>
    </w:p>
    <w:p>
      <w:pPr>
        <w:spacing w:after="0" w:line="168" w:lineRule="exact"/>
        <w:rPr>
          <w:sz w:val="20"/>
          <w:szCs w:val="20"/>
          <w:color w:val="auto"/>
        </w:rPr>
      </w:pPr>
    </w:p>
    <w:p>
      <w:pPr>
        <w:ind w:firstLine="599"/>
        <w:spacing w:after="0" w:line="266" w:lineRule="auto"/>
        <w:rPr>
          <w:sz w:val="20"/>
          <w:szCs w:val="20"/>
          <w:color w:val="auto"/>
        </w:rPr>
      </w:pPr>
      <w:r>
        <w:rPr>
          <w:rFonts w:ascii="Times New Roman" w:cs="Times New Roman" w:eastAsia="Times New Roman" w:hAnsi="Times New Roman"/>
          <w:sz w:val="18"/>
          <w:szCs w:val="18"/>
          <w:color w:val="auto"/>
        </w:rPr>
        <w:t>Better graft function as assessed by eGFR has been associated with improved long-term patient and graft survival and is an early predictor of future graft failure. Historical studies have reported average eGFRs generally in the low 50 mL/min/1.73m2 range during the first year after kidney transplant using current standard of care immunosuppression. An eGFR of 50 mL/min/1.73m2 or below indicates chronic kidney disease.</w:t>
      </w:r>
    </w:p>
    <w:p>
      <w:pPr>
        <w:spacing w:after="0" w:line="176" w:lineRule="exact"/>
        <w:rPr>
          <w:sz w:val="20"/>
          <w:szCs w:val="20"/>
          <w:color w:val="auto"/>
        </w:rPr>
      </w:pPr>
    </w:p>
    <w:p>
      <w:pPr>
        <w:ind w:right="80" w:firstLine="599"/>
        <w:spacing w:after="0" w:line="282" w:lineRule="auto"/>
        <w:rPr>
          <w:sz w:val="20"/>
          <w:szCs w:val="20"/>
          <w:color w:val="auto"/>
        </w:rPr>
      </w:pPr>
      <w:r>
        <w:rPr>
          <w:rFonts w:ascii="Times New Roman" w:cs="Times New Roman" w:eastAsia="Times New Roman" w:hAnsi="Times New Roman"/>
          <w:sz w:val="18"/>
          <w:szCs w:val="18"/>
          <w:color w:val="auto"/>
        </w:rPr>
        <w:t>We reported interim safety and efficacy results from the Phase 1b clinical trial in March 2023, and provided updated data in November 2023, June 2024 and August 2025.</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599"/>
        <w:spacing w:after="0" w:line="252" w:lineRule="auto"/>
        <w:rPr>
          <w:sz w:val="20"/>
          <w:szCs w:val="20"/>
          <w:color w:val="auto"/>
        </w:rPr>
      </w:pPr>
      <w:r>
        <w:rPr>
          <w:rFonts w:ascii="Times New Roman" w:cs="Times New Roman" w:eastAsia="Times New Roman" w:hAnsi="Times New Roman"/>
          <w:sz w:val="18"/>
          <w:szCs w:val="18"/>
          <w:color w:val="auto"/>
        </w:rPr>
        <w:t>At the time of the August 2025 update, which reported data as of July 2025, 32 patients undergoing kidney transplantation have been enrolled in the Phase 1b study. Updated data showed that kidney function, as assessed by eGFR, stabilized after the first month post-transplant and remained in the range of approximately 68 mL/min/1.73 m2 through 12 months for patients (n = 12) who remained on tegoprubart. Kidney function in the intention-to-treat population (n=15) was approximately 63 mL/min/1.73 m2 at 12 months. Data from historical studies using the standard of care, calcineurin inhibitor-based immunosuppression therapy, typically report aggregate mean eGFR of approximately 53 mL/min/1.73 m2 during the first year after kidney transplant. In addition, preliminary abbreviated iBox data was presented suggesting that tegoprubart may improve 5-year graft survival. Abbreviated iBox, a composite biomarker panel developed by the Paris Transplant Group, incorporates kidney function (eGFR, proteinuria) and immunologic response (donor-specific antibodies) parameters into a single prognostic score. Based on data collected as of July 2025, abbreviated iBox scores were -3.75 in the intention-to-treat population and -4.11 in the on-treatment population, which compare favorably to a -2.98 historical mean for calcineurin inhibitors. A difference in abbreviated iBox score of -0.40 at 12 months is considered predictive of a 4-5% difference in 5-year graft survival suggesting that tegoprubart may have a predicted 5-year allograft survival rate of over 96%. As of July 2025, there were six (18.8%) rejection episodes, and 75% of patients who experienced a rejection had received low-dose rabbit antithymocyte globulin induction. All rejection episodes were successfully treated. Of the patients who experienced a rejection episode and completed a year in the study, three who remained on tegoprubart had a mean eGFR of approximately 73 mL/min/1.73 m2 at 12 months, indicating full recovery of kidney function, while the two patients who switched to standard of care tacrolimus had a mean eGFR of approximately 34 mL/min/1.73 m² at 12 months.</w:t>
      </w:r>
    </w:p>
    <w:p>
      <w:pPr>
        <w:spacing w:after="0" w:line="128" w:lineRule="exact"/>
        <w:rPr>
          <w:sz w:val="20"/>
          <w:szCs w:val="20"/>
          <w:color w:val="auto"/>
        </w:rPr>
      </w:pPr>
    </w:p>
    <w:p>
      <w:pPr>
        <w:ind w:right="80" w:firstLine="599"/>
        <w:spacing w:after="0" w:line="254" w:lineRule="auto"/>
        <w:rPr>
          <w:sz w:val="20"/>
          <w:szCs w:val="20"/>
          <w:color w:val="auto"/>
        </w:rPr>
      </w:pPr>
      <w:r>
        <w:rPr>
          <w:rFonts w:ascii="Times New Roman" w:cs="Times New Roman" w:eastAsia="Times New Roman" w:hAnsi="Times New Roman"/>
          <w:sz w:val="18"/>
          <w:szCs w:val="18"/>
          <w:color w:val="auto"/>
        </w:rPr>
        <w:t>In July 2022, we received Investigational New Drug (“IND”) application clearance from the FDA for our controlled, Phase 2 BESTOW trial of tegoprubart for the prevention of transplant rejection in persons receiving a kidney transplant. The BESTOW study is a multi-center, two-arm, active comparator, head-to-head superiority clinical study, with approximately 120 participants undergoing kidney transplantation in the U.S. and other countries to evaluate the safety, pharmacokinetics, and efficacy of tegoprubart compared to the calcineurin inhibitor tacrolimus. The study’s primary objective is to assess graft function as measured by estimated eGFR at 12 months post-transplant in participants treated with tegoprubart compared to tacrolimus. Secondary objectives are the assessment of graft survival, biopsy-proven acute rejection, and the incidence of new onset diabetes mellitus after transplant. The BESTOW study is running in parallel to the ongoing Phase 1b clinical trial of tegoprubart in kidney transplantation. The first subject in the BESTOW study was dosed in August 2023 and the last patient was dosed on September 4, 2025.</w:t>
      </w:r>
    </w:p>
    <w:p>
      <w:pPr>
        <w:spacing w:after="0" w:line="192" w:lineRule="exact"/>
        <w:rPr>
          <w:sz w:val="20"/>
          <w:szCs w:val="20"/>
          <w:color w:val="auto"/>
        </w:rPr>
      </w:pPr>
    </w:p>
    <w:p>
      <w:pPr>
        <w:ind w:right="20" w:firstLine="599"/>
        <w:spacing w:after="0" w:line="254" w:lineRule="auto"/>
        <w:rPr>
          <w:sz w:val="20"/>
          <w:szCs w:val="20"/>
          <w:color w:val="auto"/>
        </w:rPr>
      </w:pPr>
      <w:r>
        <w:rPr>
          <w:rFonts w:ascii="Times New Roman" w:cs="Times New Roman" w:eastAsia="Times New Roman" w:hAnsi="Times New Roman"/>
          <w:sz w:val="18"/>
          <w:szCs w:val="18"/>
          <w:color w:val="auto"/>
        </w:rPr>
        <w:t>On November 6, 2025, we announced topline efficacy and safety data from the Phase 2 BESTOW trial evaluating tegoprubart for the prevention of kidney transplant rejection. Safety and efficacy results supported the potential for tegoprubart to provide effective immunosuppression with a favorable safety and tolerability profile compared to tacrolimus. Safety findings underscore tegoprubart’s potential to maintain effective immunosuppression while minimizing the metabolic, neurologic, and cardiovascular toxicities characteristic of tacrolimus-based therapy. Notably, new-onset diabetes developed in approximately 17% of patients receiving tacrolimus versus 2% receiving tegoprubart. Tremor was markedly higher in the tacrolimus group (25.0% vs.</w:t>
      </w:r>
    </w:p>
    <w:p>
      <w:pPr>
        <w:spacing w:after="0" w:line="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1.6%) and cardiovascular effects, including hypertension (25.0% vs. 15.9%), hypertensive crisis (7.8% vs. 1.6%), and heart failure (4.7% vs. 0%) all favored tegoprubart. Delayed graft function occurred less often with tegoprubart and required shorter dialysis (14.3% vs. 25%; 4.6 days vs. 6.1 days) suggesting potential reductions of 115 days on dialysis post-transplant per 100 deceased donor kidney recipients on tegoprubart versus tacrolimus. Sepsis or bacteremia occurred more frequently in the tacrolimus arm (17.2% vs. 4.8%) and viral infection rates (CMV, BK, EBV, fungal) were similar across groups, with no cases of Post-Transplant Lymphoproliferative Disorder or Progressive Multifocal Leukoencephalopathy. Additionally, overall rates of serious adverse events were comparable between treatment arms. From an efficacy standpoint, tegoprubart achieved an eGFR of approximately 69 mL/min/1.73 m² (n=51) at 12 months compared to 66 mL/min/1.73 m² for tacrolimus (n=56). Although the primary endpoint did not reach statistical significance, tegoprubart maintained strong renal function, delivering what the Company believes is one of the highest mean eGFR level reported to date in kidney transplant clinical trials evaluating rejection prevention. Subgroup analyses showed higher eGFRs in nearly all tegoprubart subgroups compared to tacrolimus, particularly among living-related donor recipients (72 mL/min/1.73 m² vs. 62 mL/min/1.73 m²) and high Kidney Donor Profile Index (KDPI &gt;</w:t>
      </w:r>
    </w:p>
    <w:p>
      <w:pPr>
        <w:spacing w:after="0" w:line="4" w:lineRule="exact"/>
        <w:rPr>
          <w:sz w:val="20"/>
          <w:szCs w:val="20"/>
          <w:color w:val="auto"/>
        </w:rPr>
      </w:pPr>
    </w:p>
    <w:p>
      <w:pPr>
        <w:ind w:right="60" w:firstLine="8"/>
        <w:spacing w:after="0" w:line="252" w:lineRule="auto"/>
        <w:tabs>
          <w:tab w:leader="none" w:pos="2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transplants (62 mL/min/1.73 m² vs. 53 mL/min/1.73m²). The efficacy failure composite endpoint, comprising death, graft loss and biopsy proven acute rejection, is the approval endpoint historically recognized by the FDA. Efficacy failure composite endpoint was 22% in the tegoprubart group versus 17% in the tacrolimus group, demonstrating non-inferiority for tegoprubart versus tacrolimus, using a 20% non-inferiority margin. We believe these results, if replicated in a Phase 3 study, would be sufficient to support tegoprubart’s approvability. The rate of acute rejection in all biopsies was 20.6% for tegoprubart group compared with 14.1% in the tacrolimus group. Among patients in the tegoprubart group who experienced acute rejection and remained on treatment through month 12, mean eGFR was 73 mL/min/1.73 m² compared to 50 mL/min/1.73 m² in those who switched to tacrolimus. Additionally, there was one case of donor-specific antibodies in the tegoprubart arm versus two in the tacrolimus arm.</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firstLine="599"/>
        <w:spacing w:after="0" w:line="266" w:lineRule="auto"/>
        <w:rPr>
          <w:sz w:val="20"/>
          <w:szCs w:val="20"/>
          <w:color w:val="auto"/>
        </w:rPr>
      </w:pPr>
      <w:r>
        <w:rPr>
          <w:rFonts w:ascii="Times New Roman" w:cs="Times New Roman" w:eastAsia="Times New Roman" w:hAnsi="Times New Roman"/>
          <w:sz w:val="18"/>
          <w:szCs w:val="18"/>
          <w:color w:val="auto"/>
        </w:rPr>
        <w:t>In October 2023, we enrolled the first participant in a Phase 2 open-label extension study which is designed to evaluate the long-term safety, pharmacokinetics, and efficacy of tegoprubart in participants who have completed one year of treatment in either the ongoing Phase 1b study or the Phase 2 BESTOW study.</w:t>
      </w:r>
    </w:p>
    <w:p>
      <w:pPr>
        <w:spacing w:after="0" w:line="176" w:lineRule="exact"/>
        <w:rPr>
          <w:sz w:val="20"/>
          <w:szCs w:val="20"/>
          <w:color w:val="auto"/>
        </w:rPr>
      </w:pPr>
    </w:p>
    <w:p>
      <w:pPr>
        <w:ind w:firstLine="599"/>
        <w:spacing w:after="0" w:line="258" w:lineRule="auto"/>
        <w:rPr>
          <w:sz w:val="20"/>
          <w:szCs w:val="20"/>
          <w:color w:val="auto"/>
        </w:rPr>
      </w:pPr>
      <w:r>
        <w:rPr>
          <w:rFonts w:ascii="Times New Roman" w:cs="Times New Roman" w:eastAsia="Times New Roman" w:hAnsi="Times New Roman"/>
          <w:sz w:val="18"/>
          <w:szCs w:val="18"/>
          <w:color w:val="080808"/>
        </w:rPr>
        <w:t>In January 2026, we presented 24-month follow-up data from eight patients enrolled in the Phase 1b trial long-term extension evaluating tegoprubart in kidney transplantation at the American Society of Transplant Surgeons Winter Symposium held in Scottsdale, Arizona. During the reported follow-up period, no episodes of biopsy-proven acute rejection, graft loss, death, new-onset diabetes mellitus, or de novo donor-specific antibody formation were observed among participating patients. Mean eGFR increased over the measurement period from 67.0 mL/min/1.73 m² at 12 months to 74.2 mL/min/1.73 m² at 24 months.</w:t>
      </w:r>
    </w:p>
    <w:p>
      <w:pPr>
        <w:spacing w:after="0" w:line="183" w:lineRule="exact"/>
        <w:rPr>
          <w:sz w:val="20"/>
          <w:szCs w:val="20"/>
          <w:color w:val="auto"/>
        </w:rPr>
      </w:pPr>
    </w:p>
    <w:p>
      <w:pPr>
        <w:ind w:right="700" w:firstLine="599"/>
        <w:spacing w:after="0" w:line="282" w:lineRule="auto"/>
        <w:rPr>
          <w:sz w:val="20"/>
          <w:szCs w:val="20"/>
          <w:color w:val="auto"/>
        </w:rPr>
      </w:pPr>
      <w:r>
        <w:rPr>
          <w:rFonts w:ascii="Times New Roman" w:cs="Times New Roman" w:eastAsia="Times New Roman" w:hAnsi="Times New Roman"/>
          <w:sz w:val="18"/>
          <w:szCs w:val="18"/>
          <w:color w:val="080808"/>
        </w:rPr>
        <w:t>In 2026, we plan to seek guidance from the FDA regarding the design of a potential Phase 3 clinical trial evaluating tegoprubart in kidney transplantation and, subject to regulatory feedback and alignment, may initiate a Phase 3 trial.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80808"/>
        </w:rPr>
        <w:t>Clinical Development of Tegoprubart for the Prevention of Allograft Rejection in Xenotransplantation</w:t>
      </w:r>
    </w:p>
    <w:p>
      <w:pPr>
        <w:spacing w:after="0" w:line="121" w:lineRule="exact"/>
        <w:rPr>
          <w:sz w:val="20"/>
          <w:szCs w:val="20"/>
          <w:color w:val="auto"/>
        </w:rPr>
      </w:pPr>
    </w:p>
    <w:p>
      <w:pPr>
        <w:ind w:right="160" w:firstLine="599"/>
        <w:spacing w:after="0" w:line="282" w:lineRule="auto"/>
        <w:rPr>
          <w:sz w:val="20"/>
          <w:szCs w:val="20"/>
          <w:color w:val="auto"/>
        </w:rPr>
      </w:pPr>
      <w:r>
        <w:rPr>
          <w:rFonts w:ascii="Times New Roman" w:cs="Times New Roman" w:eastAsia="Times New Roman" w:hAnsi="Times New Roman"/>
          <w:sz w:val="18"/>
          <w:szCs w:val="18"/>
          <w:color w:val="auto"/>
        </w:rPr>
        <w:t>While inhibition of CD40L has shown it may play an important role in immunosuppression in allograft kidney transplantation, this mechanism of action has also demonstrated that it may be a promising option in xenotransplantation (i.e., transplanting an organ from an animal to a human).</w:t>
      </w:r>
    </w:p>
    <w:p>
      <w:pPr>
        <w:spacing w:after="0" w:line="162" w:lineRule="exact"/>
        <w:rPr>
          <w:sz w:val="20"/>
          <w:szCs w:val="20"/>
          <w:color w:val="auto"/>
        </w:rPr>
      </w:pPr>
    </w:p>
    <w:p>
      <w:pPr>
        <w:ind w:right="20" w:firstLine="599"/>
        <w:spacing w:after="0" w:line="266" w:lineRule="auto"/>
        <w:rPr>
          <w:sz w:val="20"/>
          <w:szCs w:val="20"/>
          <w:color w:val="auto"/>
        </w:rPr>
      </w:pPr>
      <w:r>
        <w:rPr>
          <w:rFonts w:ascii="Times New Roman" w:cs="Times New Roman" w:eastAsia="Times New Roman" w:hAnsi="Times New Roman"/>
          <w:sz w:val="18"/>
          <w:szCs w:val="18"/>
          <w:color w:val="auto"/>
        </w:rPr>
        <w:t>In January 2023, we entered into a non-exclusive collaborative research agreement with eGenesis, Inc., (“eGenesis”), under which eGenesis gained access to tegoprubart for preclinical and clinical xenotransplantation studies in support of eGenesis’ kidney, heart and islet cell xenotransplantation programs.</w:t>
      </w:r>
    </w:p>
    <w:p>
      <w:pPr>
        <w:spacing w:after="0" w:line="176" w:lineRule="exact"/>
        <w:rPr>
          <w:sz w:val="20"/>
          <w:szCs w:val="20"/>
          <w:color w:val="auto"/>
        </w:rPr>
      </w:pPr>
    </w:p>
    <w:p>
      <w:pPr>
        <w:ind w:right="20" w:firstLine="599"/>
        <w:spacing w:after="0" w:line="261" w:lineRule="auto"/>
        <w:rPr>
          <w:sz w:val="20"/>
          <w:szCs w:val="20"/>
          <w:color w:val="auto"/>
        </w:rPr>
      </w:pPr>
      <w:r>
        <w:rPr>
          <w:rFonts w:ascii="Times New Roman" w:cs="Times New Roman" w:eastAsia="Times New Roman" w:hAnsi="Times New Roman"/>
          <w:sz w:val="18"/>
          <w:szCs w:val="18"/>
          <w:color w:val="auto"/>
        </w:rPr>
        <w:t>To date, tegoprubart has been used as a key component of the immunosuppression regimen in four xenotransplantation procedures: three involving genetically modified pig kidneys and one involving a genetically modified pig heart. Two of the kidney transplant recipients remain alive. One continues to maintain kidney function with the transplanted pig kidney, while the other had the graft removed on day 271 and has since received an allograft kidney from a donor.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of Tegoprubart for the Prevention of Allograft Rejection in Islet Cell Transplantation (“ICT”)</w:t>
      </w:r>
    </w:p>
    <w:p>
      <w:pPr>
        <w:spacing w:after="0" w:line="121" w:lineRule="exact"/>
        <w:rPr>
          <w:sz w:val="20"/>
          <w:szCs w:val="20"/>
          <w:color w:val="auto"/>
        </w:rPr>
      </w:pPr>
    </w:p>
    <w:p>
      <w:pPr>
        <w:ind w:right="180" w:firstLine="599"/>
        <w:spacing w:after="0" w:line="255" w:lineRule="auto"/>
        <w:rPr>
          <w:sz w:val="20"/>
          <w:szCs w:val="20"/>
          <w:color w:val="auto"/>
        </w:rPr>
      </w:pPr>
      <w:r>
        <w:rPr>
          <w:rFonts w:ascii="Times New Roman" w:cs="Times New Roman" w:eastAsia="Times New Roman" w:hAnsi="Times New Roman"/>
          <w:sz w:val="18"/>
          <w:szCs w:val="18"/>
          <w:color w:val="auto"/>
        </w:rPr>
        <w:t>Type 1 diabetes (“T1D”) is a T cell mediated autoimmune disease with progressive loss of insulin producing pancreatic beta cells and affects approximately 2 million persons in the United States. Approximately 33% of people with T1D report impaired awareness of hypoglycemia regardless of continuous glucose monitoring or automated insulin usage. Approximately 12% of people with T1D experience recurrent severe hypoglycemic events annually, putting them at higher risk for adverse outcomes. Approximately 5% to 8% of adults with T1D experience diabetic ketoacidosis annually, often as a result of poor glycemic control. ICT is gaining attention as a thera</w:t>
      </w:r>
      <w:r>
        <w:rPr>
          <w:rFonts w:ascii="Times New Roman" w:cs="Times New Roman" w:eastAsia="Times New Roman" w:hAnsi="Times New Roman"/>
          <w:sz w:val="18"/>
          <w:szCs w:val="18"/>
          <w:color w:val="231F20"/>
        </w:rPr>
        <w:t>peutic option for T1D because it can restore physiological insulin secretion,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minimize the risk of hypoglycemic unawareness, and reduce the risk of death due to severe hypoglycemia. The advances made in this field over the past decade have improved patient outcomes, and the procedure has been evolving from an experimental treatment to a clinical treatment option</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ind w:right="40" w:firstLine="599"/>
        <w:spacing w:after="0" w:line="255" w:lineRule="auto"/>
        <w:rPr>
          <w:sz w:val="20"/>
          <w:szCs w:val="20"/>
          <w:color w:val="auto"/>
        </w:rPr>
      </w:pPr>
      <w:r>
        <w:rPr>
          <w:rFonts w:ascii="Times New Roman" w:cs="Times New Roman" w:eastAsia="Times New Roman" w:hAnsi="Times New Roman"/>
          <w:sz w:val="18"/>
          <w:szCs w:val="18"/>
          <w:color w:val="231F20"/>
        </w:rPr>
        <w:t>A number of issues are believed to continue to hamper the overall success of ICT and to need to be addressed in order for there to be widespread clinical acceptance. These include the acute loss of transplanted islets with current immunosuppressive treatments, particularly those with CNI-based therapies, due to islet cell toxicity and alloreactive immunologic responses to transplanted islets. Over time, the progressive loss of islet cells and decline in islet cell function can lead to the need for multiple transplants in order for T1D patients to have optimal response to blood glucose levels and possibly achieve insulin independence. Tegoprubart seeks to address the challenges associated with current ICT immunosuppressive regimens using CNI-based therapies, by replacing the CNIs with tegoprubart to prevent rejection and protect the transplanted cells. We believe that tegoprubart may unlock the ICT market by potentially improving islet cell graft survival and reduce the side effects associated with standard of care regimens</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ind w:right="20" w:firstLine="599"/>
        <w:spacing w:after="0" w:line="258" w:lineRule="auto"/>
        <w:rPr>
          <w:sz w:val="20"/>
          <w:szCs w:val="20"/>
          <w:color w:val="auto"/>
        </w:rPr>
      </w:pPr>
      <w:r>
        <w:rPr>
          <w:rFonts w:ascii="Times New Roman" w:cs="Times New Roman" w:eastAsia="Times New Roman" w:hAnsi="Times New Roman"/>
          <w:sz w:val="18"/>
          <w:szCs w:val="18"/>
          <w:color w:val="auto"/>
        </w:rPr>
        <w:t>Historical studies in nonhuman primate models of ICT have demonstrated that treatment with anti-CD40L antibodies induces long term islet cell function and graft survival, even as a monotherapy. Tegoprubart has shown pre-clinical, proof-of-concept efficacy in a non-human primate model of T1D, where animals undergoing ICT maintained glucose control and sustained levels of C-peptide with chronic tegoprubart treatment for up to a year. Compared to combination immunosuppressive therapy including CNIs, tegoprubart monotherapy was more effective in preventing long term islet cell rejection, associated with better graft function, and showed an improved safety profile.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2022, the FDA granted orphan designation to tegoprubart for the prevention of allograft rejection in pancreatic islet cell transplantation.</w:t>
      </w:r>
    </w:p>
    <w:p>
      <w:pPr>
        <w:spacing w:after="0" w:line="225" w:lineRule="exact"/>
        <w:rPr>
          <w:sz w:val="20"/>
          <w:szCs w:val="20"/>
          <w:color w:val="auto"/>
        </w:rPr>
      </w:pPr>
    </w:p>
    <w:p>
      <w:pPr>
        <w:ind w:right="80" w:firstLine="599"/>
        <w:spacing w:after="0" w:line="261" w:lineRule="auto"/>
        <w:rPr>
          <w:sz w:val="20"/>
          <w:szCs w:val="20"/>
          <w:color w:val="auto"/>
        </w:rPr>
      </w:pPr>
      <w:r>
        <w:rPr>
          <w:rFonts w:ascii="Times New Roman" w:cs="Times New Roman" w:eastAsia="Times New Roman" w:hAnsi="Times New Roman"/>
          <w:sz w:val="18"/>
          <w:szCs w:val="18"/>
          <w:color w:val="080808"/>
        </w:rPr>
        <w:t>In January 2024, we announced that tegoprubart would be evaluated in an investigator-initiated clinical trial conducted at the University of Chicago Medicine’s Transplant Institute. The study is designed to assess the safety of a calcineurin inhibitor-free immunosuppression regimen utilizing tegoprubart in individuals with T1D mellitus undergoing islet cell transplantation. We are not funding the trial and our involvement is limited to supplying tegoprubart for use in the study.</w:t>
      </w:r>
    </w:p>
    <w:p>
      <w:pPr>
        <w:spacing w:after="0" w:line="180"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080808"/>
        </w:rPr>
        <w:t>As of March 2026, updated data from this investigator-initiated clinical trial included 12 adults with long-standing T1D undergoing allogeneic islet transplantation at University of Chicago Medicine. Patients had a median duration of diabetes of approximately 33 years and a mean baseline hemoglobin A1c of approximately 8.0%. Among the 10 patients with more than four weeks of follow-up, all achieved insulin independence with a most recent hemoglobin A1c below 6.0%, and a mean most recent hemoglobin A1c of approximately 5.35%. Across the study, glycemic control improved following transplantation, and islet graft function was observed during the follow-up period. Tegoprubart was administered as part of a calcineurin inhibitor-free immunosuppression regimen and was generally well tolerated. Reported post-transplant immunosuppression-related adverse events were managed with dose adjustments of concomitant therapy, including mycophenolic acid. No rejection episodes were reported, and no patients developed de novo donor-specific HLA antibodies. No evidence of nephrotoxicity, hypertension, or neurotoxicity commonly associated with calcineurin inhibitor-based regimens was observed during the reported follow-up period.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of Tegoprubart for ALS</w:t>
      </w:r>
    </w:p>
    <w:p>
      <w:pPr>
        <w:spacing w:after="0" w:line="121" w:lineRule="exact"/>
        <w:rPr>
          <w:sz w:val="20"/>
          <w:szCs w:val="20"/>
          <w:color w:val="auto"/>
        </w:rPr>
      </w:pPr>
    </w:p>
    <w:p>
      <w:pPr>
        <w:jc w:val="both"/>
        <w:ind w:right="180" w:firstLine="599"/>
        <w:spacing w:after="0" w:line="261" w:lineRule="auto"/>
        <w:rPr>
          <w:sz w:val="20"/>
          <w:szCs w:val="20"/>
          <w:color w:val="auto"/>
        </w:rPr>
      </w:pPr>
      <w:r>
        <w:rPr>
          <w:rFonts w:ascii="Times New Roman" w:cs="Times New Roman" w:eastAsia="Times New Roman" w:hAnsi="Times New Roman"/>
          <w:sz w:val="18"/>
          <w:szCs w:val="18"/>
          <w:color w:val="auto"/>
        </w:rPr>
        <w:t>ALS is a progressive, paralytic disorder characterized by degeneration of motor neurons in the brain and spinal cord. In the U.S., the incidence is estimated at approximately 5,000 cases per year with a prevalence of approximately 30,000 cases overall. Despite 3 approved drugs, in most cases, death from respiratory failure occurs between 3 to 5 years from diagnosis, with 50% of patients living at least 3 years from diagnosis and only 20% of patients living at least 5 years from diagnosis.</w:t>
      </w:r>
    </w:p>
    <w:p>
      <w:pPr>
        <w:spacing w:after="0" w:line="180" w:lineRule="exact"/>
        <w:rPr>
          <w:sz w:val="20"/>
          <w:szCs w:val="20"/>
          <w:color w:val="auto"/>
        </w:rPr>
      </w:pPr>
    </w:p>
    <w:p>
      <w:pPr>
        <w:ind w:right="280" w:firstLine="599"/>
        <w:spacing w:after="0" w:line="258" w:lineRule="auto"/>
        <w:rPr>
          <w:sz w:val="20"/>
          <w:szCs w:val="20"/>
          <w:color w:val="auto"/>
        </w:rPr>
      </w:pPr>
      <w:r>
        <w:rPr>
          <w:rFonts w:ascii="Times New Roman" w:cs="Times New Roman" w:eastAsia="Times New Roman" w:hAnsi="Times New Roman"/>
          <w:sz w:val="18"/>
          <w:szCs w:val="18"/>
          <w:color w:val="auto"/>
        </w:rPr>
        <w:t>While the exact pathogenic mechanism of ALS is still not fully understood, there is strong evidence indicating that neuroinflammation plays an important role in the disease’s pathogenesis. Neuroinflammation in ALS is characterized by the infiltration of lymphocytes and macrophages into the central nervous system, and the activation of microglia and reactive astrocytes. Reactive astrocytes and microglia as well as infiltrating lymphocytes, dendritic cells, monocytes, macrophages and immune complexes have been identified in cerebrospinal fluid and neural tissues in both animal models of ALS and at autopsy in ALS patients.</w:t>
      </w:r>
    </w:p>
    <w:p>
      <w:pPr>
        <w:spacing w:after="0" w:line="183"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auto"/>
        </w:rPr>
        <w:t>Tegoprubart is designed to block CD40L binding to CD40, thereby potentially inhibiting neuroinflammatory pathways leading to disease progression in ALS. In vitro proof-of-concept studies have shown that tegoprubart binds to CD40L in human cells and blocks CD40L binding on antigen presenting cells and activated T cells. The potential for therapeutic benefit of CD40L blockage in treating ALS has been demonstrated in a SOD1 mouse model of ALS, where a murine anti-CD40L antibody, prolonged survival and delayed the onset of neurological disease progression. These pathophysiological manifestations are believed to be due to reduced immune cell infiltration of macrophages into skeletal muscle and their destroying denervated nerves. The plasticity of the nervous system to repair itself in the absence of this immune cell attack is believed to result in improved neuromuscular junction occupancy and improved muscle function. Blocking CD40L signaling also prevents pro-inflammatory polarization of lymphocytes, reduced neuroinflammation and improved motor neuron survival in rodent ALS models.</w:t>
      </w:r>
    </w:p>
    <w:p>
      <w:pPr>
        <w:spacing w:after="0" w:line="192" w:lineRule="exact"/>
        <w:rPr>
          <w:sz w:val="20"/>
          <w:szCs w:val="20"/>
          <w:color w:val="auto"/>
        </w:rPr>
      </w:pPr>
    </w:p>
    <w:p>
      <w:pPr>
        <w:ind w:right="20" w:firstLine="599"/>
        <w:spacing w:after="0" w:line="261" w:lineRule="auto"/>
        <w:rPr>
          <w:sz w:val="20"/>
          <w:szCs w:val="20"/>
          <w:color w:val="auto"/>
        </w:rPr>
      </w:pPr>
      <w:r>
        <w:rPr>
          <w:rFonts w:ascii="Times New Roman" w:cs="Times New Roman" w:eastAsia="Times New Roman" w:hAnsi="Times New Roman"/>
          <w:sz w:val="18"/>
          <w:szCs w:val="18"/>
          <w:color w:val="auto"/>
        </w:rPr>
        <w:t>In 2018, the FDA granted orphan drug designation to tegoprubart for ALS. In 2019, we completed a single ascending dose Phase 1 study of tegoprubart in healthy volunteers and people with ALS. In this study, the doses of tegoprubart studied were well tolerated in healthy adult subjects and adults with ALS. Tegoprubart demonstrated low anti-drug antibody responses that were not dose related, linear dose proportionality across the dose ranges, and a half-life of up to 26 days.</w:t>
      </w:r>
    </w:p>
    <w:p>
      <w:pPr>
        <w:spacing w:after="0" w:line="180" w:lineRule="exact"/>
        <w:rPr>
          <w:sz w:val="20"/>
          <w:szCs w:val="20"/>
          <w:color w:val="auto"/>
        </w:rPr>
      </w:pPr>
    </w:p>
    <w:p>
      <w:pPr>
        <w:ind w:right="120" w:firstLine="599"/>
        <w:spacing w:after="0" w:line="254" w:lineRule="auto"/>
        <w:rPr>
          <w:sz w:val="20"/>
          <w:szCs w:val="20"/>
          <w:color w:val="auto"/>
        </w:rPr>
      </w:pPr>
      <w:r>
        <w:rPr>
          <w:rFonts w:ascii="Times New Roman" w:cs="Times New Roman" w:eastAsia="Times New Roman" w:hAnsi="Times New Roman"/>
          <w:sz w:val="18"/>
          <w:szCs w:val="18"/>
          <w:color w:val="auto"/>
        </w:rPr>
        <w:t>In October 2020, we initiated a Phase 2a, open-label, multi-center study to evaluate the safety and tolerability of multiple doses of tegoprubart in adult subjects with ALS. Fifty-four subjects with ALS were enrolled into the study in the United States and Canada at 13 ALS treatment sites. Ascending doses of tegoprubart were administered as IV infusions to four sequentially enrolling cohorts. The first two cohorts consisted of nine participants, and the last two cohorts of 18 participants each. All enrolled subjects received six infusions of tegoprubart over a 12 week period. Blood samples for target engagement, and exploratory biomarkers for inflammation and neurodegeneration were taken and analyzed. Participant-focused clinical outcomes were also assessed. In May 2022, we completed the Phase 2a study and released positive topline results. Tegoprubart successfully met the primary endpoints of safety and tolerability. Fifty of the fifty-four subjects completed all six study infusions, and adverse events were typical of an ALS patient population. Tegoprubart was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well-tolerated, and no drug-related serious adverse events were observed. No new safety signals emerged. Anti-drug antibodies (“ADAs”) were present in less than 5 percent of samples. All ADAs were of low titer and did not impact tegoprubart drug levels. Tegoprubart target engagement was demonstrated in all dose cohorts with increasing target engagement in a dose-dependent manner, plateauing at the 4 and 8 mg / kg dosing levels using CD40L and CXCL13 biomarkers related to T cell and B cell function, respectively. Tegoprubart exposure decreased inflammatory biomarker levels, in a dose dependent manner, in 20 of 32 pro-inflammatory proteins. Pro-inflammatory biomarkers reduced included biomarkers also associated with IgA nephropathy and kidney transplant rejection, such as IgA, IgE, IgM, C3, CXCL9, and CXCL10.</w:t>
      </w:r>
    </w:p>
    <w:p>
      <w:pPr>
        <w:spacing w:after="0" w:line="187" w:lineRule="exact"/>
        <w:rPr>
          <w:sz w:val="20"/>
          <w:szCs w:val="20"/>
          <w:color w:val="auto"/>
        </w:rPr>
      </w:pPr>
    </w:p>
    <w:p>
      <w:pPr>
        <w:ind w:right="200" w:firstLine="599"/>
        <w:spacing w:after="0" w:line="282" w:lineRule="auto"/>
        <w:rPr>
          <w:sz w:val="20"/>
          <w:szCs w:val="20"/>
          <w:color w:val="auto"/>
        </w:rPr>
      </w:pPr>
      <w:r>
        <w:rPr>
          <w:rFonts w:ascii="Times New Roman" w:cs="Times New Roman" w:eastAsia="Times New Roman" w:hAnsi="Times New Roman"/>
          <w:sz w:val="18"/>
          <w:szCs w:val="18"/>
          <w:color w:val="auto"/>
        </w:rPr>
        <w:t>We are seeking to further progress ALS clinical development ; however, we will be unable to continue this program without additional financing dedicated to ALS, and we can provide no assurance that such financing will be available on acceptable terms, or at all.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of Tegoprubart for IgA Nephropathy</w:t>
      </w:r>
    </w:p>
    <w:p>
      <w:pPr>
        <w:spacing w:after="0" w:line="121" w:lineRule="exact"/>
        <w:rPr>
          <w:sz w:val="20"/>
          <w:szCs w:val="20"/>
          <w:color w:val="auto"/>
        </w:rPr>
      </w:pPr>
    </w:p>
    <w:p>
      <w:pPr>
        <w:ind w:right="80" w:firstLine="599"/>
        <w:spacing w:after="0" w:line="254" w:lineRule="auto"/>
        <w:rPr>
          <w:sz w:val="20"/>
          <w:szCs w:val="20"/>
          <w:color w:val="auto"/>
        </w:rPr>
      </w:pPr>
      <w:r>
        <w:rPr>
          <w:rFonts w:ascii="Times New Roman" w:cs="Times New Roman" w:eastAsia="Times New Roman" w:hAnsi="Times New Roman"/>
          <w:sz w:val="18"/>
          <w:szCs w:val="18"/>
          <w:color w:val="auto"/>
        </w:rPr>
        <w:t>In January 2023, the Company announced the deprioritization of its IgAN program and all IgAN clinical development activities were discontinued in 2023. IgAN is the leading cause of chronic glomerulonephritis, a state of inflammation producing damage to the filtering part of the kidney. Disease manifestation and clinical presentation involves renal dysfunction characterized by proteinuria with a slow relentless course. Approximately 30%-40% of persons living with IgAN ultimately reach end stage renal disease (“ESRD”). The standard of care for ESRD is dialysis or kidney transplant, which represents a significant economic burden as well as a major impact on a patient’s quality of life. With an estimated prevalence of approximately 150,000 persons in the United States, IgAN is one of the most common autoimmune glomerulonephropathies. In the United States, oral budesonide Tarpeyo was approved for use in IgAN by the FDA in December 2021 and Kinpeygo received conditional approval by the European Medicines Agency (“EMA”) in July 2022.</w:t>
      </w:r>
    </w:p>
    <w:p>
      <w:pPr>
        <w:spacing w:after="0" w:line="192" w:lineRule="exact"/>
        <w:rPr>
          <w:sz w:val="20"/>
          <w:szCs w:val="20"/>
          <w:color w:val="auto"/>
        </w:rPr>
      </w:pPr>
    </w:p>
    <w:p>
      <w:pPr>
        <w:ind w:right="180" w:firstLine="599"/>
        <w:spacing w:after="0" w:line="261" w:lineRule="auto"/>
        <w:rPr>
          <w:sz w:val="20"/>
          <w:szCs w:val="20"/>
          <w:color w:val="auto"/>
        </w:rPr>
      </w:pPr>
      <w:r>
        <w:rPr>
          <w:rFonts w:ascii="Times New Roman" w:cs="Times New Roman" w:eastAsia="Times New Roman" w:hAnsi="Times New Roman"/>
          <w:sz w:val="18"/>
          <w:szCs w:val="18"/>
          <w:color w:val="auto"/>
        </w:rPr>
        <w:t>In August 2022, we received IND clearance from the FDA to evaluate tegoprubart for the treatment of IgAN. The Phase 2 global study was a 96-week open-label, dose ranging trial, and included both a high dose and a low dose cohort. The primary endpoint was change in urinary protein:creatinine ratio at week twenty-four. Secondary endpoints included change in estimated eGFR at week 96 as well as safety and tolerability. The first subject was dosed in May 2022. We reported interim safety data from the Phase 2 high dose cohort in March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Equity Distribution Agreement</w:t>
      </w:r>
    </w:p>
    <w:p>
      <w:pPr>
        <w:spacing w:after="0" w:line="121" w:lineRule="exact"/>
        <w:rPr>
          <w:sz w:val="20"/>
          <w:szCs w:val="20"/>
          <w:color w:val="auto"/>
        </w:rPr>
      </w:pPr>
    </w:p>
    <w:p>
      <w:pPr>
        <w:ind w:right="120" w:firstLine="599"/>
        <w:spacing w:after="0" w:line="254" w:lineRule="auto"/>
        <w:rPr>
          <w:sz w:val="20"/>
          <w:szCs w:val="20"/>
          <w:color w:val="auto"/>
        </w:rPr>
      </w:pPr>
      <w:r>
        <w:rPr>
          <w:rFonts w:ascii="Times New Roman" w:cs="Times New Roman" w:eastAsia="Times New Roman" w:hAnsi="Times New Roman"/>
          <w:sz w:val="18"/>
          <w:szCs w:val="18"/>
          <w:color w:val="auto"/>
        </w:rPr>
        <w:t>On September 20, 2024, the Company entered into an Open Market Sale Agreement (the “Sales Agreement”) with Guggenheim Securities, LLC (“Guggenheim Securities”) to sell shares of the Company’s common stock, having aggregate sales proceeds of up to $75.0 million, from time to time, through an “at the market” equity offering program under which Guggenheim Securities will act as sales agent. In connection with the Sales Agreement, the Company filed on September 20, 2024 a registration statement on Form S-3 containing a prospectus and prospectus supplement (the “Initial Shelf Registration Statement”) with the SEC. The Initial Shelf Registration Statement became effective on October 2, 2024. In advance of the expiration of the Initial Registration Statement, the Company filed on May 1, 2026 a new registration statement on Form S-3 containing a prospectus and prospectus supplement (the “New Shelf Registration Statement”) with the SEC, which is not yet effective. The Initial Shelf Registration Statement will remain effective for a period of up to 180 days until the New Registration Statement becomes effective. As of March 31, 2026, we have not sold any shares under the Sales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Underwritten Offering</w:t>
      </w:r>
    </w:p>
    <w:p>
      <w:pPr>
        <w:spacing w:after="0" w:line="121"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auto"/>
        </w:rPr>
        <w:t>On November 12, 2025, the Company entered into an underwriting agreement (the “Underwriting Agreement”) with Leerink Partners, LLC, as representative of the several underwriters named therein (the “Underwriters”), in connection with the underwritten public offering and sale by the Company (the “2025 Underwritten Offering”) of 15,152,485 shares of the Company’s common stock at a public offering price of $1.65 per share (the “Common Stock Purchase Price”), and pre-funded warrants (the “2025 Offering Pre-Funded Warrants”) at a public offering price of $1.649 per 2025 Offering Pre-Funded Warrant, which are exercisable to purchase up to 15,151,515 shares of common stock at an exercise price of $0.001 per share. In addition, pursuant to the Underwriting Agreement, the Company granted the Underwriters an option (the “Option”), exercisable for 30 days, to purchase up to 4,545,600 additional shares of common stock at the Common Stock Purchase Price less the underwriting discounts and commissions, which Option was exercised in full by the Underwriters.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160" w:firstLine="599"/>
        <w:spacing w:after="0" w:line="266" w:lineRule="auto"/>
        <w:rPr>
          <w:sz w:val="20"/>
          <w:szCs w:val="20"/>
          <w:color w:val="auto"/>
        </w:rPr>
      </w:pPr>
      <w:r>
        <w:rPr>
          <w:rFonts w:ascii="Times New Roman" w:cs="Times New Roman" w:eastAsia="Times New Roman" w:hAnsi="Times New Roman"/>
          <w:sz w:val="18"/>
          <w:szCs w:val="18"/>
          <w:color w:val="080808"/>
        </w:rPr>
        <w:t>The 2025 Underwritten Offering closed on November 13, 2025 and resulted in gross proceeds of $57.5 million or net proceeds of approximately $53.6 million after deducting the underwriting discounts and commissions and offering expenses. The 2025 Underwritten Offering was made pursuant to the Shelf Registration Statement and a prospectus supplement relating to the 2025 Underwritten Offering dated November 12, 2025.</w:t>
      </w:r>
    </w:p>
    <w:p>
      <w:pPr>
        <w:spacing w:after="0" w:line="176"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080808"/>
        </w:rPr>
        <w:t>A holder of the 2025 Offering Pre-Funded Warrants (together with its affiliates) may not exercise any portion of a 2025 Offering Pre-Funded Warrant to the extent that, after giving effect to such exercise, the holder (together with the holder’s affiliates, and any other persons acting as a group together with the holder or any of the holder’s affiliates) would beneficially own in excess of 4.99% of the number of shares of the Company’s common stock outstanding immediately after giving effect to the issuance of shares of common stock issuable upon exercise of such 2025 Offering Pre-Funded Warrant. A holder, A holder, upon notice to the Company, may increase or decrease such beneficial ownership limitation provision, provided that in no event shall the limitation exceed 19.99% of the number of shares of the common stock outstanding immediately after giving effect to the issuance of shares of common stock upon exercise of the 2025 Offering Pre-Funded Warrant may increase or decrease such beneficial ownership limitation, provided that in no event shall the limitation exceed 19.99% of the number of shares of the common stock outstanding immediately after giving effect to the issuance of shares of common stock upon exercise of the 2025 Offering Pre-Funded Warrant.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80808"/>
        </w:rPr>
        <w:t>2025 Warrant Exchange Agreement</w:t>
      </w:r>
    </w:p>
    <w:p>
      <w:pPr>
        <w:spacing w:after="0" w:line="121" w:lineRule="exact"/>
        <w:rPr>
          <w:sz w:val="20"/>
          <w:szCs w:val="20"/>
          <w:color w:val="auto"/>
        </w:rPr>
      </w:pPr>
    </w:p>
    <w:p>
      <w:pPr>
        <w:ind w:right="20" w:firstLine="599"/>
        <w:spacing w:after="0" w:line="261" w:lineRule="auto"/>
        <w:rPr>
          <w:sz w:val="20"/>
          <w:szCs w:val="20"/>
          <w:color w:val="auto"/>
        </w:rPr>
      </w:pPr>
      <w:r>
        <w:rPr>
          <w:rFonts w:ascii="Times New Roman" w:cs="Times New Roman" w:eastAsia="Times New Roman" w:hAnsi="Times New Roman"/>
          <w:sz w:val="18"/>
          <w:szCs w:val="18"/>
          <w:color w:val="080808"/>
        </w:rPr>
        <w:t>On December 30, 2025, the Company entered into an exchange agreement (the “Warrant Exchange Agreement”) with Coastlands Capital Partners LP, (“Coastlands Capital”), pursuant to which Coastlands Capital agreed to exchange 4,203,764 shares of common stock for a pre-funded warrant to purchase an aggregate of 4,203,764 shares of common stock (the “Exchange Warrant”), and the Company cancelled the 4,203,764 shares of common stock delivered in the exchange.</w:t>
      </w:r>
    </w:p>
    <w:p>
      <w:pPr>
        <w:spacing w:after="0" w:line="180" w:lineRule="exact"/>
        <w:rPr>
          <w:sz w:val="20"/>
          <w:szCs w:val="20"/>
          <w:color w:val="auto"/>
        </w:rPr>
      </w:pPr>
    </w:p>
    <w:p>
      <w:pPr>
        <w:ind w:right="20" w:firstLine="599"/>
        <w:spacing w:after="0" w:line="256" w:lineRule="auto"/>
        <w:rPr>
          <w:sz w:val="20"/>
          <w:szCs w:val="20"/>
          <w:color w:val="auto"/>
        </w:rPr>
      </w:pPr>
      <w:r>
        <w:rPr>
          <w:rFonts w:ascii="Times New Roman" w:cs="Times New Roman" w:eastAsia="Times New Roman" w:hAnsi="Times New Roman"/>
          <w:sz w:val="18"/>
          <w:szCs w:val="18"/>
          <w:color w:val="080808"/>
        </w:rPr>
        <w:t>Coastlands Capital (together with its affiliates) may not exercise any portion of the Exchange Warrant to the extent that, after giving effect to such exercise, Coastlands Capital (together with its affiliates and any other persons acting as a group together with Coastlands Capital or any of the its affiliates) would beneficially own in excess of 4.99% of the number of shares of the Company’s common stock outstanding immediately after giving effect to the issuance of shares of common stock issuable upon exercise of the Exchange Warrant. Coastlands Capital may increase or decrease such beneficial ownership limitation, provided that in no event shall the limitation exceed 19.99% of the number of shares of the common stock outstanding immediately after giving effect to the issuance of shares of common stock upon exercise of the Exchange Warrant.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80808"/>
        </w:rPr>
        <w:t>Common Stock Warrants</w:t>
      </w:r>
    </w:p>
    <w:p>
      <w:pPr>
        <w:spacing w:after="0" w:line="121" w:lineRule="exact"/>
        <w:rPr>
          <w:sz w:val="20"/>
          <w:szCs w:val="20"/>
          <w:color w:val="auto"/>
        </w:rPr>
      </w:pPr>
    </w:p>
    <w:p>
      <w:pPr>
        <w:ind w:right="180" w:firstLine="599"/>
        <w:spacing w:after="0" w:line="261" w:lineRule="auto"/>
        <w:rPr>
          <w:sz w:val="20"/>
          <w:szCs w:val="20"/>
          <w:color w:val="auto"/>
        </w:rPr>
      </w:pPr>
      <w:r>
        <w:rPr>
          <w:rFonts w:ascii="Times New Roman" w:cs="Times New Roman" w:eastAsia="Times New Roman" w:hAnsi="Times New Roman"/>
          <w:sz w:val="18"/>
          <w:szCs w:val="18"/>
          <w:color w:val="080808"/>
        </w:rPr>
        <w:t>As of March 31, 2026, common stock warrants were exercisable into an aggregate of 15,151,518 shares of common stock (after rounding for fractional shares and subject to beneficial ownership conversion blockers) at an exercise price of $3.00 per share. These warrants expire on May 5, 2028. The shares of common stock underlying the common stock warrants are registered for offer and sale under the Securities Act pursuant to our effective registration statements on Forms S-3.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operating expenses consist primarily of costs associated with research and development activities and general and administrative activities.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59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54" w:lineRule="exact"/>
        <w:rPr>
          <w:sz w:val="20"/>
          <w:szCs w:val="20"/>
          <w:color w:val="auto"/>
        </w:rPr>
      </w:pPr>
    </w:p>
    <w:p>
      <w:pPr>
        <w:ind w:left="760" w:right="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including salaries, benefits, stock-based compensation and travel expenses,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and sites that conduct our non-clinical studies and clinical trials;</w:t>
      </w:r>
    </w:p>
    <w:p>
      <w:pPr>
        <w:spacing w:after="0" w:line="53"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manufacturing materials for use in non-clinical studies and clinical trials and developing external manufacturing capabilities;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engaged in research and development activities, including their fees and travel expenses;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related to our non-clinical studies and clinical trials and expenses related to our regulatory activities;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our third-party license agreements.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80" w:firstLine="59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that include salaries, benefits and travel expenses for our executive, finance, and other administrative functions, and stock-based compensation expense. General and administrative expenses also include professional fees for expenses incurred under agreements with third parties relating to public relations, audit, tax and legal services, including legal expenses to pursue patent protection of our intellectual property; and our information technology, facilities and other related expenses, including rent, maintenance of facilities, insurance and supplies.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121" w:lineRule="exact"/>
        <w:rPr>
          <w:sz w:val="20"/>
          <w:szCs w:val="20"/>
          <w:color w:val="auto"/>
        </w:rPr>
      </w:pPr>
    </w:p>
    <w:p>
      <w:pPr>
        <w:ind w:right="60" w:firstLine="599"/>
        <w:spacing w:after="0" w:line="266" w:lineRule="auto"/>
        <w:rPr>
          <w:sz w:val="20"/>
          <w:szCs w:val="20"/>
          <w:color w:val="auto"/>
        </w:rPr>
      </w:pPr>
      <w:r>
        <w:rPr>
          <w:rFonts w:ascii="Times New Roman" w:cs="Times New Roman" w:eastAsia="Times New Roman" w:hAnsi="Times New Roman"/>
          <w:sz w:val="18"/>
          <w:szCs w:val="18"/>
          <w:color w:val="auto"/>
        </w:rPr>
        <w:t>Change in fair value of warrant liabilities represents the initial recognition of warrant liabilities at fair value in excess of proceeds received, as well as subsequent period remeasurements of these warrant liabilities at fair value. These remeasurements reflect changes in market conditions, such as fluctuations in stock price, volatility, interest rates, and other valuation inputs that impact the fair value of the liability.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firstLine="599"/>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condensed consolidated financial statements, which have been prepared in accordance with accounting principles generally accepted in the United States (“GAAP”).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In Part II, Item 7 of the 2025 Form 10-K, we disclosed our critical accounting estimates, which are those estimates made in accordance with GAAP that involve a significant level of estimation uncertainty and have had or are reasonably likely to have a material impact on our financial condition or results of operation. There have been no significant changes in our critical accounting estimates during the three months ended March 31, 2026, as compared to those disclosed in the 2025 Form 10-K.</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right="60" w:firstLine="599"/>
        <w:spacing w:after="0" w:line="266" w:lineRule="auto"/>
        <w:rPr>
          <w:sz w:val="20"/>
          <w:szCs w:val="20"/>
          <w:color w:val="auto"/>
        </w:rPr>
      </w:pPr>
      <w:r>
        <w:rPr>
          <w:rFonts w:ascii="Times New Roman" w:cs="Times New Roman" w:eastAsia="Times New Roman" w:hAnsi="Times New Roman"/>
          <w:sz w:val="18"/>
          <w:szCs w:val="18"/>
          <w:color w:val="auto"/>
        </w:rPr>
        <w:t xml:space="preserve">A description of recently issued accounting pronouncements that may potentially impact our financial position and results of operations is set forth in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of the Notes to Condensed Consolidated Financial Statements included in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Trends and Uncertainties</w:t>
      </w:r>
    </w:p>
    <w:p>
      <w:pPr>
        <w:spacing w:after="0" w:line="121"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disruptions, including severely diminished liquidity and credit availability, declines in consumer confidence, declines in economic growth, increases in unemployment rates, elevated inflation and interest rates, changes in U.S. trade policy and uncertainty about economic stability. Likewise, the current conflicts in Ukraine and the Middle East have created volatility in the global capital markets and global economic consequences, including disruptions of the global supply chain and energy markets. A severe or prolonged economic downturn or continued volatility in the financial and credit markets could negatively impact our ability to obtain necessary debt or equity financing in a timely manner or on favorable terms, if at all. The severity and duration of any such impacts cannot be predicted. Any such failure to raise capital as and when needed could have a negative impact on our financial condition and on our ability to pursue our business plans and strategies or cause us to delay our clinical development plans, research and development programs or commercialization efforts, out-license intellectual property rights to our product candidates or sell unsecured assets, or a combination of the above. Any of these actions could materially harm our business.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20" w:firstLine="599"/>
        <w:spacing w:after="0" w:line="282" w:lineRule="auto"/>
        <w:rPr>
          <w:sz w:val="20"/>
          <w:szCs w:val="20"/>
          <w:color w:val="auto"/>
        </w:rPr>
      </w:pPr>
      <w:r>
        <w:rPr>
          <w:rFonts w:ascii="Times New Roman" w:cs="Times New Roman" w:eastAsia="Times New Roman" w:hAnsi="Times New Roman"/>
          <w:sz w:val="18"/>
          <w:szCs w:val="18"/>
          <w:color w:val="auto"/>
        </w:rPr>
        <w:t>Any of the foregoing items could materially affect our business, possibly to a significant degree. The severity and duration of any such impacts cannot be predicted. See Item 1A, “Risk Factors” in Part II of this Quarterly Report on Form 10-Q for 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provides comparative unaudited results of operations for the three months ended March 31, 2026 and 2025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1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17,197</w:t>
            </w:r>
          </w:p>
        </w:tc>
        <w:tc>
          <w:tcPr>
            <w:tcW w:w="78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13,531</w:t>
            </w:r>
          </w:p>
        </w:tc>
        <w:tc>
          <w:tcPr>
            <w:tcW w:w="4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3,984</w:t>
            </w:r>
          </w:p>
        </w:tc>
        <w:tc>
          <w:tcPr>
            <w:tcW w:w="2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4,433</w:t>
            </w: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09"/>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21,181</w:t>
            </w:r>
          </w:p>
        </w:tc>
        <w:tc>
          <w:tcPr>
            <w:tcW w:w="2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17,964</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(21,181)</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1,118</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1,409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(18,962)</w:t>
            </w:r>
          </w:p>
        </w:tc>
        <w:tc>
          <w:tcPr>
            <w:tcW w:w="20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10,060</w:t>
            </w:r>
          </w:p>
        </w:tc>
        <w:tc>
          <w:tcPr>
            <w:tcW w:w="2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(29,022)</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(39,025)</w:t>
            </w:r>
          </w:p>
        </w:tc>
        <w:tc>
          <w:tcPr>
            <w:tcW w:w="200" w:type="dxa"/>
            <w:vAlign w:val="bottom"/>
          </w:tcPr>
          <w:p>
            <w:pPr>
              <w:spacing w:after="0"/>
              <w:rPr>
                <w:sz w:val="18"/>
                <w:szCs w:val="18"/>
                <w:color w:val="auto"/>
              </w:rPr>
            </w:pP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Unrealized loss on available-for-sale securities, net</w:t>
            </w:r>
          </w:p>
        </w:tc>
        <w:tc>
          <w:tcPr>
            <w:tcW w:w="10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2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0" w:type="dxa"/>
            <w:vAlign w:val="bottom"/>
          </w:tcPr>
          <w:p>
            <w:pPr>
              <w:jc w:val="right"/>
              <w:ind w:right="83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(39,121)</w:t>
            </w:r>
          </w:p>
        </w:tc>
        <w:tc>
          <w:tcPr>
            <w:tcW w:w="78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4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-1045210</wp:posOffset>
            </wp:positionV>
            <wp:extent cx="1200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-1045210</wp:posOffset>
            </wp:positionV>
            <wp:extent cx="1200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-170815</wp:posOffset>
            </wp:positionV>
            <wp:extent cx="1200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1200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research and development expenses for the periods presented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1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Tegoprubart - kidney transplantation programs</w:t>
            </w:r>
          </w:p>
        </w:tc>
        <w:tc>
          <w:tcPr>
            <w:tcW w:w="98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5,414</w:t>
            </w:r>
          </w:p>
        </w:tc>
        <w:tc>
          <w:tcPr>
            <w:tcW w:w="80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8,531</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Tegoprubart - other development programs</w:t>
            </w:r>
          </w:p>
        </w:tc>
        <w:tc>
          <w:tcPr>
            <w:tcW w:w="980" w:type="dxa"/>
            <w:vAlign w:val="bottom"/>
          </w:tcPr>
          <w:p>
            <w:pPr>
              <w:spacing w:after="0"/>
              <w:rPr>
                <w:sz w:val="18"/>
                <w:szCs w:val="18"/>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7,786</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1,670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6,116</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w:t>
            </w:r>
          </w:p>
        </w:tc>
        <w:tc>
          <w:tcPr>
            <w:tcW w:w="980" w:type="dxa"/>
            <w:vAlign w:val="bottom"/>
          </w:tcPr>
          <w:p>
            <w:pPr>
              <w:spacing w:after="0"/>
              <w:rPr>
                <w:sz w:val="18"/>
                <w:szCs w:val="18"/>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2,847</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2,418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80" w:type="dxa"/>
            <w:vAlign w:val="bottom"/>
            <w:tcBorders>
              <w:bottom w:val="single" w:sz="8" w:color="auto"/>
            </w:tcBorders>
            <w:shd w:val="clear" w:color="auto" w:fill="CFF0FC"/>
          </w:tcPr>
          <w:p>
            <w:pPr>
              <w:jc w:val="right"/>
              <w:ind w:right="8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17,197</w:t>
            </w:r>
          </w:p>
        </w:tc>
        <w:tc>
          <w:tcPr>
            <w:tcW w:w="2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13,531</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-24765</wp:posOffset>
            </wp:positionV>
            <wp:extent cx="1543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1543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543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543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Research and development expenses increased $3.7 million for the three months ended March 31, 2026,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The increase was primarily attributable to the following:</w:t>
      </w:r>
    </w:p>
    <w:p>
      <w:pPr>
        <w:spacing w:after="0" w:line="99" w:lineRule="exact"/>
        <w:rPr>
          <w:sz w:val="20"/>
          <w:szCs w:val="20"/>
          <w:color w:val="auto"/>
        </w:rPr>
      </w:pPr>
    </w:p>
    <w:p>
      <w:pPr>
        <w:ind w:left="760" w:right="180" w:hanging="378"/>
        <w:spacing w:after="0" w:line="282" w:lineRule="auto"/>
        <w:tabs>
          <w:tab w:leader="none" w:pos="760" w:val="left"/>
        </w:tabs>
        <w:numPr>
          <w:ilvl w:val="0"/>
          <w:numId w:val="15"/>
        </w:numPr>
        <w:rPr>
          <w:rFonts w:ascii="Times New Roman" w:cs="Times New Roman" w:eastAsia="Times New Roman" w:hAnsi="Times New Roman"/>
          <w:sz w:val="18"/>
          <w:szCs w:val="18"/>
          <w:color w:val="080808"/>
        </w:rPr>
      </w:pPr>
      <w:r>
        <w:rPr>
          <w:rFonts w:ascii="Times New Roman" w:cs="Times New Roman" w:eastAsia="Times New Roman" w:hAnsi="Times New Roman"/>
          <w:sz w:val="18"/>
          <w:szCs w:val="18"/>
          <w:color w:val="080808"/>
        </w:rPr>
        <w:t>a decrease of $3.1 million in expenses related to Tegoprubart - kidney transplantation programs, primarily driven by lower external CRO costs, related to the close-out activities of our Phase 2 BESTOW trial for kidney transplantation;</w:t>
      </w:r>
    </w:p>
    <w:p>
      <w:pPr>
        <w:spacing w:after="0" w:line="53" w:lineRule="exact"/>
        <w:rPr>
          <w:rFonts w:ascii="Times New Roman" w:cs="Times New Roman" w:eastAsia="Times New Roman" w:hAnsi="Times New Roman"/>
          <w:sz w:val="18"/>
          <w:szCs w:val="18"/>
          <w:color w:val="080808"/>
        </w:rPr>
      </w:pPr>
    </w:p>
    <w:p>
      <w:pPr>
        <w:ind w:left="760" w:right="260" w:hanging="378"/>
        <w:spacing w:after="0" w:line="312" w:lineRule="auto"/>
        <w:tabs>
          <w:tab w:leader="none" w:pos="760" w:val="left"/>
        </w:tabs>
        <w:numPr>
          <w:ilvl w:val="0"/>
          <w:numId w:val="15"/>
        </w:numPr>
        <w:rPr>
          <w:rFonts w:ascii="Times New Roman" w:cs="Times New Roman" w:eastAsia="Times New Roman" w:hAnsi="Times New Roman"/>
          <w:sz w:val="17"/>
          <w:szCs w:val="17"/>
          <w:color w:val="080808"/>
        </w:rPr>
      </w:pPr>
      <w:r>
        <w:rPr>
          <w:rFonts w:ascii="Times New Roman" w:cs="Times New Roman" w:eastAsia="Times New Roman" w:hAnsi="Times New Roman"/>
          <w:sz w:val="17"/>
          <w:szCs w:val="17"/>
          <w:color w:val="080808"/>
        </w:rPr>
        <w:t>an increase of $0.2 million in expenses related to Tegoprubart - other development programs, primarily external CRO costs, driven by a credit recognized in the prior-year period from the reversal of a liability associated with close-out activities for our terminated IgAN program.</w:t>
      </w:r>
    </w:p>
    <w:p>
      <w:pPr>
        <w:spacing w:after="0" w:line="31" w:lineRule="exact"/>
        <w:rPr>
          <w:rFonts w:ascii="Times New Roman" w:cs="Times New Roman" w:eastAsia="Times New Roman" w:hAnsi="Times New Roman"/>
          <w:sz w:val="17"/>
          <w:szCs w:val="17"/>
          <w:color w:val="080808"/>
        </w:rPr>
      </w:pPr>
    </w:p>
    <w:p>
      <w:pPr>
        <w:ind w:left="760" w:right="32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$6.1 million in manufacturing costs, primarily due to contract manufacturing expenses associated with increased production of drug substance and drug product clinical trial supply. We expect manufacturing costs to continue to increase as we advance our clinical programs, including preparation for a potential Phase 3 kidney transplantation trial;</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$0.4 million in personnel-related expenses, driven by increased headcount supporting ongoing clinical development programs;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$0.1 million in stock-based compensation expense, </w:t>
      </w:r>
      <w:r>
        <w:rPr>
          <w:rFonts w:ascii="Times New Roman" w:cs="Times New Roman" w:eastAsia="Times New Roman" w:hAnsi="Times New Roman"/>
          <w:sz w:val="18"/>
          <w:szCs w:val="18"/>
          <w:color w:val="080808"/>
        </w:rPr>
        <w:t>primarily attributable to new time-based stock option grants.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general and administrative expenses for the periods presented (in thousands):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2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1,610</w:t>
            </w:r>
          </w:p>
        </w:tc>
        <w:tc>
          <w:tcPr>
            <w:tcW w:w="78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1,306</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w:t>
            </w:r>
          </w:p>
        </w:tc>
        <w:tc>
          <w:tcPr>
            <w:tcW w:w="1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956</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5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1,117</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1,845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5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9"/>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5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3,984</w:t>
            </w:r>
          </w:p>
        </w:tc>
        <w:tc>
          <w:tcPr>
            <w:tcW w:w="2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4,433</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-25400</wp:posOffset>
            </wp:positionV>
            <wp:extent cx="1543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15430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1460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1460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General and administrative expenses decreased by $0.4 million for the three months ended March 31, 2026,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The decrease was primarily attributable to the following:</w:t>
      </w:r>
    </w:p>
    <w:p>
      <w:pPr>
        <w:spacing w:after="0" w:line="99"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$0.3 million in professional and consulting expenses, </w:t>
      </w:r>
      <w:r>
        <w:rPr>
          <w:rFonts w:ascii="Times New Roman" w:cs="Times New Roman" w:eastAsia="Times New Roman" w:hAnsi="Times New Roman"/>
          <w:sz w:val="18"/>
          <w:szCs w:val="18"/>
          <w:color w:val="080808"/>
        </w:rPr>
        <w:t>primarily driven by increased audit and legal services;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of $0.1 million in personnel-related expenses, </w:t>
      </w:r>
      <w:r>
        <w:rPr>
          <w:rFonts w:ascii="Times New Roman" w:cs="Times New Roman" w:eastAsia="Times New Roman" w:hAnsi="Times New Roman"/>
          <w:sz w:val="18"/>
          <w:szCs w:val="18"/>
          <w:color w:val="080808"/>
        </w:rPr>
        <w:t>primarily due to a decrease in consultant expenses and travel costs; and</w:t>
      </w:r>
    </w:p>
    <w:p>
      <w:pPr>
        <w:spacing w:after="0" w:line="117"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$0.7 million in stock-based compensation expense, primarily due to certain equity awards granted in prior periods becoming fully vested, resulting in no further expense recognition for those awards in the current period.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380" w:firstLine="599"/>
        <w:spacing w:after="0" w:line="282" w:lineRule="auto"/>
        <w:rPr>
          <w:sz w:val="20"/>
          <w:szCs w:val="20"/>
          <w:color w:val="auto"/>
        </w:rPr>
      </w:pPr>
      <w:r>
        <w:rPr>
          <w:rFonts w:ascii="Times New Roman" w:cs="Times New Roman" w:eastAsia="Times New Roman" w:hAnsi="Times New Roman"/>
          <w:sz w:val="18"/>
          <w:szCs w:val="18"/>
          <w:color w:val="auto"/>
        </w:rPr>
        <w:t>Other income, net for the three months ended March 31, 2026 decreased by $0.3 million compared to the three months ended March 31, 2025, primarily due to lower interest rates and lower average balances of cash, cash equivalents, and short-term investments.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Liabilities</w:t>
      </w:r>
    </w:p>
    <w:p>
      <w:pPr>
        <w:spacing w:after="0" w:line="119" w:lineRule="exact"/>
        <w:rPr>
          <w:sz w:val="20"/>
          <w:szCs w:val="20"/>
          <w:color w:val="auto"/>
        </w:rPr>
      </w:pPr>
    </w:p>
    <w:p>
      <w:pPr>
        <w:ind w:right="20" w:firstLine="59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fair value of warrant liabilities increased by $19.0 million. This change was primarily driven by an increase in the fair value of the Common Warrants, reflecting an increase in the Company’s stock price during the period. The warrant liability increased from $11.4 million as of December 31, 2025 to $30.4 million as of March 31, 2026.</w:t>
      </w:r>
    </w:p>
    <w:p>
      <w:pPr>
        <w:spacing w:after="0" w:line="176" w:lineRule="exact"/>
        <w:rPr>
          <w:sz w:val="20"/>
          <w:szCs w:val="20"/>
          <w:color w:val="auto"/>
        </w:rPr>
      </w:pPr>
    </w:p>
    <w:p>
      <w:pPr>
        <w:jc w:val="both"/>
        <w:ind w:right="120" w:firstLine="599"/>
        <w:spacing w:after="0" w:line="266" w:lineRule="auto"/>
        <w:rPr>
          <w:sz w:val="20"/>
          <w:szCs w:val="20"/>
          <w:color w:val="auto"/>
        </w:rPr>
      </w:pPr>
      <w:r>
        <w:rPr>
          <w:rFonts w:ascii="Times New Roman" w:cs="Times New Roman" w:eastAsia="Times New Roman" w:hAnsi="Times New Roman"/>
          <w:sz w:val="18"/>
          <w:szCs w:val="18"/>
          <w:color w:val="auto"/>
        </w:rPr>
        <w:t>By comparison, for the three months ended March 31, 2025, the fair value of the warrant liabilities decreased by $10.1 million, primarily due to a decrease in the Company’s stock price during the period. The decrease was driven primarily by a decrease in the fair value of the Common Warrants, with the total warrant liability decreasing from $44.9 million as of December 31, 2024 to $34.8 million as of March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540" w:firstLine="599"/>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cash and cash equivalents and short-term investments of $111.1 million, working capital of $100.1 million and an accumulated deficit of $440.2 million.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firstLine="599"/>
        <w:spacing w:after="0" w:line="255" w:lineRule="auto"/>
        <w:rPr>
          <w:sz w:val="20"/>
          <w:szCs w:val="20"/>
          <w:color w:val="auto"/>
        </w:rPr>
      </w:pPr>
      <w:r>
        <w:rPr>
          <w:rFonts w:ascii="Times New Roman" w:cs="Times New Roman" w:eastAsia="Times New Roman" w:hAnsi="Times New Roman"/>
          <w:sz w:val="18"/>
          <w:szCs w:val="18"/>
          <w:color w:val="auto"/>
        </w:rPr>
        <w:t xml:space="preserve">We do not have any approved products for commercial sale and have never generated revenue from product sales. We have incurred significant net losses since our inception and expect to continue to incur losses for the foreseeable future. We do not expect to receive any revenue from any product candidates that we develop unless and until we obtain regulatory approval and commercialize our product candidates or enter into collaborative arrangements with third parties. We currently have no credit facility or committed sources of capital. </w:t>
      </w:r>
      <w:r>
        <w:rPr>
          <w:rFonts w:ascii="Times New Roman" w:cs="Times New Roman" w:eastAsia="Times New Roman" w:hAnsi="Times New Roman"/>
          <w:sz w:val="18"/>
          <w:szCs w:val="18"/>
          <w:color w:val="080808"/>
        </w:rPr>
        <w:t>To date, our operations have been financed primarily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80808"/>
        </w:rPr>
        <w:t>by net proceeds from the sale of preferred and common stock, and the sale of warrants. Additionally, in view of our expectation to incur significant losses for the foreseeable future, we will be required to raise additional capital resources in the future in order to fund our operations, although the availability of, and our access to, such resources is not assured.</w:t>
      </w:r>
    </w:p>
    <w:p>
      <w:pPr>
        <w:spacing w:after="0" w:line="189"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auto"/>
        </w:rPr>
        <w:t>Based on our liquidity estimates and our current resources, we have concluded that we have sufficient cash resources to meet our anticipated cash needs through at least the next 12 months from the date of this report. We have based this estimate on assumptions that may prove to be incorrect, and we could utilize our available resources sooner than we currently expect. To finance our operations beyond that point we will need to raise additional capital, which cannot be assured. Further, from time to time, our operating plans may change, and we may need additional funds to meet operational needs for clinical studies sooner than planned or to fund additional clinical studies. In particular, the initiation of a Phase 3 clinical trial in kidney transplantation and a potential company-sponsored study in islet cell transplantation would require substantial additional capital, and we would need to raise additional financing to initiate such trials. However, there can be no assurance such financing or other alternatives will be available to us on acceptable terms, or at all, for this trial or our other programs, which could force us to significantly alter our business strategy, substantially curtail our current operations, or liquidate and cease operations altogether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20" w:firstLine="599"/>
        <w:spacing w:after="0" w:line="258"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consist of clinical research and development expenses, manufacturing expenses, legal and compliance expenses, compensation and related expenses, and general overhead costs. Cash used to fund operating expenses is impacted by the timing of when we pay or prepay these expenses. As of March 31, 2026, there have been no changes in our material cash requirements from known contractual and other obligations, including commitments for capital expenditures, as disclosed under “Liquidity and Capital Resources—Material Cash Requirements” in Item 7, Management’s Discussion and Analysis of Financial Condition and Results of Operations in the 2025 Form 10-K.</w:t>
      </w:r>
    </w:p>
    <w:p>
      <w:pPr>
        <w:spacing w:after="0" w:line="183" w:lineRule="exact"/>
        <w:rPr>
          <w:sz w:val="20"/>
          <w:szCs w:val="20"/>
          <w:color w:val="auto"/>
        </w:rPr>
      </w:pPr>
    </w:p>
    <w:p>
      <w:pPr>
        <w:jc w:val="both"/>
        <w:ind w:right="40" w:firstLine="599"/>
        <w:spacing w:after="0" w:line="289" w:lineRule="auto"/>
        <w:rPr>
          <w:sz w:val="20"/>
          <w:szCs w:val="20"/>
          <w:color w:val="auto"/>
        </w:rPr>
      </w:pPr>
      <w:r>
        <w:rPr>
          <w:rFonts w:ascii="Times New Roman" w:cs="Times New Roman" w:eastAsia="Times New Roman" w:hAnsi="Times New Roman"/>
          <w:sz w:val="17"/>
          <w:szCs w:val="17"/>
          <w:color w:val="auto"/>
        </w:rPr>
        <w:t>We expect our expenses to increase in connection with our ongoing activities, particularly as we expand our clinical program with tegoprubart and, continue the research and development of, and seek marketing approval for, our product candidates. In addition, if we obtain marketing approval for any of our product candidates, we expect to incur significant commercialization expenses related to product sales, marketing, manufacturing and distribution.</w:t>
      </w:r>
    </w:p>
    <w:p>
      <w:pPr>
        <w:spacing w:after="0" w:line="158" w:lineRule="exact"/>
        <w:rPr>
          <w:sz w:val="20"/>
          <w:szCs w:val="20"/>
          <w:color w:val="auto"/>
        </w:rPr>
      </w:pPr>
    </w:p>
    <w:p>
      <w:pPr>
        <w:ind w:right="40" w:firstLine="599"/>
        <w:spacing w:after="0" w:line="258" w:lineRule="auto"/>
        <w:rPr>
          <w:sz w:val="20"/>
          <w:szCs w:val="20"/>
          <w:color w:val="auto"/>
        </w:rPr>
      </w:pPr>
      <w:r>
        <w:rPr>
          <w:rFonts w:ascii="Times New Roman" w:cs="Times New Roman" w:eastAsia="Times New Roman" w:hAnsi="Times New Roman"/>
          <w:sz w:val="18"/>
          <w:szCs w:val="18"/>
          <w:color w:val="auto"/>
        </w:rPr>
        <w:t>We will continue to require additional financing in order to advance our drug product through clinical development, to manufacture, obtain regulatory approval for and to commercialize our product candidates, to develop, acquire or in-license other potential product candidates, and to fund operations for the foreseeable future. Therefore, we will seek to raise additional capital through equity offerings, debt financings or other capital sources, including potentially collaborations, licenses and other similar arrangements. The ability to raise substantial additional capital will depend on many factors, including:</w:t>
      </w:r>
    </w:p>
    <w:p>
      <w:pPr>
        <w:spacing w:after="0" w:line="75" w:lineRule="exact"/>
        <w:rPr>
          <w:sz w:val="20"/>
          <w:szCs w:val="20"/>
          <w:color w:val="auto"/>
        </w:rPr>
      </w:pPr>
    </w:p>
    <w:p>
      <w:pPr>
        <w:ind w:left="760" w:right="50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our ongoing and future clinical trials of tegoprubart, including as such activities may be adversely impacted by global events or macroeconomic conditions;</w:t>
      </w:r>
    </w:p>
    <w:p>
      <w:pPr>
        <w:spacing w:after="0" w:line="53"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macroeconomic trends and uncertainties, which continue to experience volatility and disruptions, including diminished liquidity and credit availability, declines in consumer confidence, declines in economic growth, increases in unemployment rates, increases in inflation rates, rising interest rates and uncertainty about economic stability;</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indications we decide to pursue for tegoprubart development;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regulatory review of any biologics license application, or BLA, we may submit for tegoprubart;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tegoprubart, if approved;</w:t>
      </w:r>
    </w:p>
    <w:p>
      <w:pPr>
        <w:spacing w:after="0" w:line="117"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tegoprubart;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collaborations, licenses and other similar arrangements;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tegoprubart, if approved for commercial sale.</w:t>
      </w:r>
    </w:p>
    <w:p>
      <w:pPr>
        <w:spacing w:after="0" w:line="225" w:lineRule="exact"/>
        <w:rPr>
          <w:sz w:val="20"/>
          <w:szCs w:val="20"/>
          <w:color w:val="auto"/>
        </w:rPr>
      </w:pPr>
    </w:p>
    <w:p>
      <w:pPr>
        <w:ind w:right="40" w:firstLine="599"/>
        <w:spacing w:after="0" w:line="252" w:lineRule="auto"/>
        <w:rPr>
          <w:sz w:val="20"/>
          <w:szCs w:val="20"/>
          <w:color w:val="auto"/>
        </w:rPr>
      </w:pPr>
      <w:r>
        <w:rPr>
          <w:rFonts w:ascii="Times New Roman" w:cs="Times New Roman" w:eastAsia="Times New Roman" w:hAnsi="Times New Roman"/>
          <w:sz w:val="18"/>
          <w:szCs w:val="18"/>
          <w:color w:val="auto"/>
        </w:rPr>
        <w:t>Conditions in the financial and credit markets may also limit the availability of funding or increase the cost of funding. As a result of any of the foregoing factors, adequate additional funding may not be available to us on acceptable terms on a timely basis, or at all. The severity and duration of any such impacts cannot be predicted. Any such failure to raise capital as and when needed could have a negative impact on our financial condition and on our ability to pursue our business plans and strategies or cause us to delay our clinical development plans, research and development programs or commercialization efforts, out-license intellectual property rights to our product candidates or sell unsecured assets, or a combination of the above. Any of these actions could materially harm our business. The issuance of shares of common stock in our prior private placements and underwritten offerings diluted the ownership interests of our existing stockholders, and to the extent that we raise additional capital through the sale of additional equity, including through our “at the market” equity offering program, or convertible debt securities in the future, our stockholders’ ownership interests may be further diluted, and the terms of these securities may also include liquidation or other preferences that adversely affect our stockholders’ rights. Debt financing, if available, would result in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raise funds through collaborations, licenses and other similar arrangements with third parties, we may have to relinquish valuable rights to our technologies, future revenue streams, research programs or product candidates or to grant licenses on terms that may not be favorable to us. Please see Part II, Item 1A. “Risk Factors” of this Quarterly Report on Form 10-Q for additional risks associated with our substantial capital requirements and the challenges we may face in raising capital.</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for the three months ended March 31, 2026 and 2025 (in thousands):</w:t>
      </w:r>
    </w:p>
    <w:p>
      <w:pPr>
        <w:spacing w:after="0" w:line="219"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00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716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8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7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16"/>
        </w:trPr>
        <w:tc>
          <w:tcPr>
            <w:tcW w:w="7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40" w:type="dxa"/>
            <w:vAlign w:val="bottom"/>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(22,612)</w:t>
            </w:r>
          </w:p>
        </w:tc>
        <w:tc>
          <w:tcPr>
            <w:tcW w:w="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(16,060)</w:t>
            </w: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14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3,892</w:t>
            </w:r>
          </w:p>
        </w:tc>
      </w:tr>
      <w:tr>
        <w:trPr>
          <w:trHeight w:val="216"/>
        </w:trPr>
        <w:tc>
          <w:tcPr>
            <w:tcW w:w="7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115</w:t>
            </w:r>
          </w:p>
        </w:tc>
      </w:tr>
      <w:tr>
        <w:trPr>
          <w:trHeight w:val="209"/>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(16,656)</w:t>
            </w: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w:t>
            </w:r>
          </w:p>
        </w:tc>
      </w:tr>
      <w:tr>
        <w:trPr>
          <w:trHeight w:val="20"/>
        </w:trPr>
        <w:tc>
          <w:tcPr>
            <w:tcW w:w="7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-170815</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 w:firstLine="599"/>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operating activities used $22.6 million in cash. This net use of cash reflects our net loss of $39.0 million, adjusted for non-cash items that reduced net loss by $20.7 million, consisting of a $19.0 million change in the fair value of warrant liabilities and $2.2 million of stock-based compensation expense, partially offset by $0.5 million related to the accretion of investment discounts. Changes in operating assets and liabilities resulted in a $4.4 million use of cash, primarily driven by a decrease in accrued expenses following the initiation of close-out activities for the Phase 2 BESTOW trial.</w:t>
      </w:r>
    </w:p>
    <w:p>
      <w:pPr>
        <w:spacing w:after="0" w:line="183" w:lineRule="exact"/>
        <w:rPr>
          <w:sz w:val="20"/>
          <w:szCs w:val="20"/>
          <w:color w:val="auto"/>
        </w:rPr>
      </w:pPr>
    </w:p>
    <w:p>
      <w:pPr>
        <w:ind w:firstLine="59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operating activities used $16.1 million in cash. This net use of cash reflects our net loss of $6.5 million, adjusted for non-cash items that increased net loss by $7.9 million, consisting primarily of a $10.1 million change in the fair value of warrant liabilities and $0.7 million of accretion of investment discounts, partially offset by $2.9 million of stock-based compensation expense. Changes in operating assets and liabilities resulted in a $1.8 million use of cash, primarily driven by a decrease in accounts payable.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firstLine="59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2026 was $6.0 million, consisting of $49.1 million from maturities of available-for-sale short-term investments, partially offset by $43.1 million in purchases of available-for-sale short-term investments.</w:t>
      </w:r>
    </w:p>
    <w:p>
      <w:pPr>
        <w:spacing w:after="0" w:line="54" w:lineRule="exact"/>
        <w:rPr>
          <w:sz w:val="20"/>
          <w:szCs w:val="20"/>
          <w:color w:val="auto"/>
        </w:rPr>
      </w:pPr>
    </w:p>
    <w:p>
      <w:pPr>
        <w:ind w:firstLine="59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2025 was $3.9 million, consisting of $35.7 million from maturities of available-for-sale short-term investments, partially offset by $31.9 in purchases of available-for-sale short-term investments.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There were no financing activities for the three months ended March 31, 2026 .</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consisted of $0.1 million from the exercise of stock options.</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320" w:firstLine="599"/>
        <w:spacing w:after="0" w:line="282" w:lineRule="auto"/>
        <w:rPr>
          <w:sz w:val="20"/>
          <w:szCs w:val="20"/>
          <w:color w:val="auto"/>
        </w:rPr>
      </w:pPr>
      <w:r>
        <w:rPr>
          <w:rFonts w:ascii="Times New Roman" w:cs="Times New Roman" w:eastAsia="Times New Roman" w:hAnsi="Times New Roman"/>
          <w:sz w:val="18"/>
          <w:szCs w:val="18"/>
          <w:color w:val="auto"/>
        </w:rPr>
        <w:t>Per §229.305 of Regulation S-K, the Company, designated a Smaller Reporting Company as defined in §229.10(f)(1) of Regulation S-K, is not required to provide the disclosure required by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599"/>
        <w:spacing w:after="0" w:line="253" w:lineRule="auto"/>
        <w:rPr>
          <w:sz w:val="20"/>
          <w:szCs w:val="20"/>
          <w:color w:val="auto"/>
        </w:rPr>
      </w:pPr>
      <w:r>
        <w:rPr>
          <w:rFonts w:ascii="Times New Roman" w:cs="Times New Roman" w:eastAsia="Times New Roman" w:hAnsi="Times New Roman"/>
          <w:sz w:val="18"/>
          <w:szCs w:val="18"/>
          <w:color w:val="auto"/>
        </w:rPr>
        <w:t>As of March 31, 2026, our management, with the participation of our principal executive officer and principal financial officer, evaluated the effectiveness of our disclosure controls and procedures.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spacing w:after="0" w:line="194" w:lineRule="exact"/>
        <w:rPr>
          <w:sz w:val="20"/>
          <w:szCs w:val="20"/>
          <w:color w:val="auto"/>
        </w:rPr>
      </w:pPr>
    </w:p>
    <w:p>
      <w:pPr>
        <w:ind w:right="80" w:firstLine="599"/>
        <w:spacing w:after="0" w:line="282" w:lineRule="auto"/>
        <w:rPr>
          <w:sz w:val="20"/>
          <w:szCs w:val="20"/>
          <w:color w:val="auto"/>
        </w:rPr>
      </w:pPr>
      <w:r>
        <w:rPr>
          <w:rFonts w:ascii="Times New Roman" w:cs="Times New Roman" w:eastAsia="Times New Roman" w:hAnsi="Times New Roman"/>
          <w:sz w:val="18"/>
          <w:szCs w:val="18"/>
          <w:color w:val="080808"/>
        </w:rPr>
        <w:t>Based on this evaluation, management concluded that our disclosure controls and procedures were effective at the reasonable assurance level as of March 31,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599"/>
        <w:spacing w:after="0" w:line="282" w:lineRule="auto"/>
        <w:rPr>
          <w:sz w:val="20"/>
          <w:szCs w:val="20"/>
          <w:color w:val="auto"/>
        </w:rPr>
      </w:pPr>
      <w:r>
        <w:rPr>
          <w:rFonts w:ascii="Times New Roman" w:cs="Times New Roman" w:eastAsia="Times New Roman" w:hAnsi="Times New Roman"/>
          <w:sz w:val="18"/>
          <w:szCs w:val="18"/>
          <w:color w:val="080808"/>
        </w:rPr>
        <w:t>There have been no changes in our internal control over financial reporting (as defined in Rules 13a-15(f) or 15d-15(f) of the Exchange Act) during the quarter ended March 31, 2026 that have materially affected, or are reasonably likely to materially affect, our internal control over financial reporting.</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20" w:firstLine="599"/>
        <w:spacing w:after="0" w:line="282" w:lineRule="auto"/>
        <w:rPr>
          <w:sz w:val="20"/>
          <w:szCs w:val="20"/>
          <w:color w:val="auto"/>
        </w:rPr>
      </w:pPr>
      <w:r>
        <w:rPr>
          <w:rFonts w:ascii="Times New Roman" w:cs="Times New Roman" w:eastAsia="Times New Roman" w:hAnsi="Times New Roman"/>
          <w:sz w:val="18"/>
          <w:szCs w:val="18"/>
          <w:color w:val="auto"/>
        </w:rPr>
        <w:t>Neither we nor any of our subsidiaries is a party to, and none of their respective property is the subject of, any material legal proceeding, although we are from time-to-time party to legal proceedings that arise in the ordinary course of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firstLine="599"/>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shares of our common stock involves a high degree of risk. You should carefully consider the following risk factors, as well as the other information in this Quarterly Report on Form 10-Q and in our other public filings.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in our public filings when evaluating our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Operations</w:t>
      </w:r>
    </w:p>
    <w:p>
      <w:pPr>
        <w:spacing w:after="0" w:line="117" w:lineRule="exact"/>
        <w:rPr>
          <w:sz w:val="20"/>
          <w:szCs w:val="20"/>
          <w:color w:val="auto"/>
        </w:rPr>
      </w:pPr>
    </w:p>
    <w:p>
      <w:pPr>
        <w:ind w:right="2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short operating history and shifts in our business strategy may make it difficult to evaluate the success of our business to date and to assess our future viability.</w:t>
      </w:r>
    </w:p>
    <w:p>
      <w:pPr>
        <w:spacing w:after="0" w:line="159" w:lineRule="exact"/>
        <w:rPr>
          <w:sz w:val="20"/>
          <w:szCs w:val="20"/>
          <w:color w:val="auto"/>
        </w:rPr>
      </w:pPr>
    </w:p>
    <w:p>
      <w:pPr>
        <w:ind w:right="80" w:firstLine="599"/>
        <w:spacing w:after="0" w:line="255" w:lineRule="auto"/>
        <w:rPr>
          <w:sz w:val="20"/>
          <w:szCs w:val="20"/>
          <w:color w:val="auto"/>
        </w:rPr>
      </w:pPr>
      <w:r>
        <w:rPr>
          <w:rFonts w:ascii="Times New Roman" w:cs="Times New Roman" w:eastAsia="Times New Roman" w:hAnsi="Times New Roman"/>
          <w:sz w:val="18"/>
          <w:szCs w:val="18"/>
          <w:color w:val="auto"/>
        </w:rPr>
        <w:t>We are a clinical stage biopharmaceutical company. Our ongoing operations to date have been limited to organizing and staffing the Company, business planning, raising capital, acquiring and developing technology, identifying potential product candidates and pursuing non-clinical and clinical trials. We have not yet demonstrated our ability to successfully manufacture drug products in large enough quantities and with stability to support additional clinical trials, execute pivotal clinical trials, obtain marketing approvals, manufacture a commercial scale product or arrange for a third party to do so on our behalf, or conduct sales and marketing activities necessary for successful product commercialization. It can take many years to develop a new medicine from the time it is discovered to when it is available for treating patients. Consequently, any predictions made about our future success or viability based on our short operating history to date may not be as accurate as they could be if we had a longer operating history.</w:t>
      </w:r>
    </w:p>
    <w:p>
      <w:pPr>
        <w:spacing w:after="0" w:line="189" w:lineRule="exact"/>
        <w:rPr>
          <w:sz w:val="20"/>
          <w:szCs w:val="20"/>
          <w:color w:val="auto"/>
        </w:rPr>
      </w:pPr>
    </w:p>
    <w:p>
      <w:pPr>
        <w:ind w:right="180" w:firstLine="599"/>
        <w:spacing w:after="0" w:line="266" w:lineRule="auto"/>
        <w:rPr>
          <w:sz w:val="20"/>
          <w:szCs w:val="20"/>
          <w:color w:val="auto"/>
        </w:rPr>
      </w:pPr>
      <w:r>
        <w:rPr>
          <w:rFonts w:ascii="Times New Roman" w:cs="Times New Roman" w:eastAsia="Times New Roman" w:hAnsi="Times New Roman"/>
          <w:sz w:val="18"/>
          <w:szCs w:val="18"/>
          <w:color w:val="auto"/>
        </w:rPr>
        <w:t>In addition, as an early-stage business, we may encounter unforeseen expenses, difficulties, complications, delays and other known and unknown factors. To successfully market any of our current or future product candidates, we will need to transition from a company with a clinical development focus to a company capable of supporting commercial activities. We may not be successful in such a transition.</w:t>
      </w:r>
    </w:p>
    <w:p>
      <w:pPr>
        <w:spacing w:after="0" w:line="280" w:lineRule="exact"/>
        <w:rPr>
          <w:sz w:val="20"/>
          <w:szCs w:val="20"/>
          <w:color w:val="auto"/>
        </w:rPr>
      </w:pPr>
    </w:p>
    <w:p>
      <w:pPr>
        <w:ind w:right="24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expect that we will continue to incur losses over the next several years and may never achieve or maintain profitability.</w:t>
      </w:r>
    </w:p>
    <w:p>
      <w:pPr>
        <w:spacing w:after="0" w:line="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incurred significant annual net operating losses in every year since our inception. We have no products approved for commercial sale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not generated any revenue from product sales to date, and we continue to incur significant research and development and other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related to our ongoing operations. If tegoprubart or any future product candidates we develop are not successfully developed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we may never generate any revenue from sales of products. The Company has experienced recurring net losses and negative cash flows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activities since its inception. The Company’s net loss for the three months ended March 31, 2026 is $39.0 million. As of March 31, 2026,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had cash and cash equivalents and short-term investments of $111.1 million, working capital of $100.1 million and an accumulated deficit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$440.2 million. We have not generated any revenues from product sales, have not completed the development of any product candidate and may never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product candidate approved for commercialization. We expect it will be several years, if ever, before we have a product candidate ready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commercialization. We have financed our operations to date primarily through the sale of preferred and common stock, and the sale of warrants and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devoted substantially all of our financial resources and efforts to research and development, including preclinical studies and our clinical trials. Our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may fluctuate significantly from quarter to quarter and year to year and will depend, in part, on the rate at which we incur expenses and our ability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generate revenue. Net losses and negative cash flows have had, and will continue to have, an adverse effect on our stockholders’ equity and working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anticipate that we will continue to incur significant expenses as we:</w:t>
      </w:r>
    </w:p>
    <w:p>
      <w:pPr>
        <w:spacing w:after="0" w:line="117" w:lineRule="exact"/>
        <w:rPr>
          <w:sz w:val="20"/>
          <w:szCs w:val="20"/>
          <w:color w:val="auto"/>
        </w:rPr>
      </w:pPr>
    </w:p>
    <w:p>
      <w:pPr>
        <w:ind w:left="5540" w:right="2920" w:hanging="5158"/>
        <w:spacing w:after="0" w:line="407" w:lineRule="auto"/>
        <w:tabs>
          <w:tab w:leader="none" w:pos="7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non-clinical and clinical development of our product candidates or any future product candidate;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acquire additional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products and technologies;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collaboration arrangements with regards to product discovery or development;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develop manufacturing processes </w:t>
      </w:r>
      <w:r>
        <w:rPr>
          <w:rFonts w:ascii="Times New Roman" w:cs="Times New Roman" w:eastAsia="Times New Roman" w:hAnsi="Times New Roman"/>
          <w:sz w:val="18"/>
          <w:szCs w:val="18"/>
          <w:color w:val="080808"/>
        </w:rPr>
        <w:t>and/or enter into manufacturing agreements with third-party manufacturers;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of our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w:t>
      </w:r>
    </w:p>
    <w:p>
      <w:pPr>
        <w:spacing w:after="0" w:line="117"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ind w:right="20" w:firstLine="59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marketing and selling those products for which we obtain marketing approval. We may never succeed in these activities, including if we do not have available financial resources to allow us to pursue clinical trials and other clinical development activities, and, even if we are successful,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the Company, could impair our ability to raise capital, maintain our non-clinical and clinical development efforts, and expand our business or continue our operations and may require us to raise additional capital that may dilute the ownership interest of common stockholders. A decline in the value of the Company could also cause stockholders to lose all or part of their investment.</w:t>
      </w:r>
    </w:p>
    <w:p>
      <w:pPr>
        <w:spacing w:after="0" w:line="292" w:lineRule="exact"/>
        <w:rPr>
          <w:sz w:val="20"/>
          <w:szCs w:val="20"/>
          <w:color w:val="auto"/>
        </w:rPr>
      </w:pPr>
    </w:p>
    <w:p>
      <w:pPr>
        <w:ind w:right="12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funding to be able to complete the development of our lead drug candidate. If we are unable to raise capital, we will be forced to significantly alter our business strategy, substantially curtail our current operations, or liquidate and cease operations altogether.</w:t>
      </w:r>
    </w:p>
    <w:p>
      <w:pPr>
        <w:spacing w:after="0" w:line="51"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auto"/>
        </w:rPr>
        <w:t>In view of our expectation to incur significant losses for the foreseeable future, we will be required to raise additional capital resources in the future in order to fund our operations. We can also provide no assurance that other funding will be available to us, will be obtained on terms favorable to us or will provide us with sufficient funds to meet our objectives. If we are unable to raise such capital, or if we are unable to do so on acceptable terms, we will be forced to significantly alter our business strategy, substantially curtail our current operations, or liquidate and cease operations altogether. For example, the initiation of a Phase 3 clinical trial in kidney transplantation and a potential company-sponsored study in islet cell transplantation would require substantial additional capital, and we would need to raise additional financing to initiate such trials. However, there can be no assurance such financing or other alternatives will be available to us on acceptable terms, or at all, for this trial or our other programs, which could force us to significantly alter our business strategy, substantially curtail our current operations, or liquidate and cease operations altogether.</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funding needs may fluctuate significantly based on a number of factors, such as:</w:t>
      </w:r>
    </w:p>
    <w:p>
      <w:pPr>
        <w:spacing w:after="0" w:line="117" w:lineRule="exact"/>
        <w:rPr>
          <w:sz w:val="20"/>
          <w:szCs w:val="20"/>
          <w:color w:val="auto"/>
        </w:rPr>
      </w:pPr>
    </w:p>
    <w:p>
      <w:pPr>
        <w:ind w:left="760" w:right="80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formulation development and manufacture of drug product to support non-clinical and clinical development of our product candidates;</w:t>
      </w:r>
    </w:p>
    <w:p>
      <w:pPr>
        <w:spacing w:after="0" w:line="53"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additional collaboration arrangements regarding product discovery or development, or acquire or in-license products or technologies;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collaborations with favorable terms, if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760" w:right="54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including product sales, marketing, manufacturing and distribution, for any of our product candidates for which we receive marketing approval;</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if any, received from commercial sales of our product candidates, should any of our product candidates receive marketing approval; and</w:t>
      </w:r>
    </w:p>
    <w:p>
      <w:pPr>
        <w:spacing w:after="0" w:line="128" w:lineRule="exact"/>
        <w:rPr>
          <w:rFonts w:ascii="Times New Roman" w:cs="Times New Roman" w:eastAsia="Times New Roman" w:hAnsi="Times New Roman"/>
          <w:sz w:val="17"/>
          <w:szCs w:val="17"/>
          <w:color w:val="auto"/>
        </w:rPr>
      </w:pPr>
    </w:p>
    <w:p>
      <w:pPr>
        <w:ind w:left="760" w:right="540" w:hanging="378"/>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62" w:lineRule="exact"/>
        <w:rPr>
          <w:sz w:val="20"/>
          <w:szCs w:val="20"/>
          <w:color w:val="auto"/>
        </w:rPr>
      </w:pPr>
    </w:p>
    <w:p>
      <w:pPr>
        <w:ind w:right="280" w:firstLine="599"/>
        <w:spacing w:after="0" w:line="256" w:lineRule="auto"/>
        <w:rPr>
          <w:sz w:val="20"/>
          <w:szCs w:val="20"/>
          <w:color w:val="auto"/>
        </w:rPr>
      </w:pPr>
      <w:r>
        <w:rPr>
          <w:rFonts w:ascii="Times New Roman" w:cs="Times New Roman" w:eastAsia="Times New Roman" w:hAnsi="Times New Roman"/>
          <w:sz w:val="18"/>
          <w:szCs w:val="18"/>
          <w:color w:val="auto"/>
        </w:rPr>
        <w:t>Identifying potential product candidates and conducting formulation development, non-clinical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Even if we generate positive clinical data or are able to successfully commercialize one or more of our product candidates, additional financing may not be available to us on acceptable terms, or at all.</w:t>
      </w:r>
    </w:p>
    <w:p>
      <w:pPr>
        <w:spacing w:after="0" w:line="291" w:lineRule="exact"/>
        <w:rPr>
          <w:sz w:val="20"/>
          <w:szCs w:val="20"/>
          <w:color w:val="auto"/>
        </w:rPr>
      </w:pPr>
    </w:p>
    <w:p>
      <w:pPr>
        <w:ind w:right="100" w:firstLine="5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addition to the dilution of our current stockholders’ ownership as a result of our prior private placements and underwritten offerings, we currently have a significant number of securities outstanding that are exercisable for our common stock, which could result in significant additional dilution and downward pressure on our stock price. Future issuances of our common stock, including common stock that may be issuable pursuant to outstanding warrants or other convertible securities, could result in additional dilution of the percentage ownership of our stockholders and could cause our stock price to fall.</w:t>
      </w:r>
    </w:p>
    <w:p>
      <w:pPr>
        <w:spacing w:after="0" w:line="75" w:lineRule="exact"/>
        <w:rPr>
          <w:sz w:val="20"/>
          <w:szCs w:val="20"/>
          <w:color w:val="auto"/>
        </w:rPr>
      </w:pPr>
    </w:p>
    <w:p>
      <w:pPr>
        <w:ind w:right="20" w:firstLine="599"/>
        <w:spacing w:after="0" w:line="254" w:lineRule="auto"/>
        <w:rPr>
          <w:sz w:val="20"/>
          <w:szCs w:val="20"/>
          <w:color w:val="auto"/>
        </w:rPr>
      </w:pPr>
      <w:r>
        <w:rPr>
          <w:rFonts w:ascii="Times New Roman" w:cs="Times New Roman" w:eastAsia="Times New Roman" w:hAnsi="Times New Roman"/>
          <w:sz w:val="18"/>
          <w:szCs w:val="18"/>
          <w:color w:val="auto"/>
        </w:rPr>
        <w:t>As of March 31, 2026, there were 75,851,722 shares of our common stock outstanding and pre-funded warrants and common stock warrants to purchase 51,781,090 shares of our common stock outstanding. The issuance of shares of common stock in our prior private placements and underwritten offerings, diluted the ownership interests of our existing stockholders. The issuance of shares of common stock pursuant to our “at-the-market” equity offering program or upon exercise of pre-funded warrants or common warrants issued in our prior private placements, underwritten offerings and exchange agreement would result in significant additional dilution to our current stockholders, which could adversely affect the price of our common stock and the terms on which we could raise additional capital. If we sell additional shares of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296" w:lineRule="exact"/>
        <w:rPr>
          <w:sz w:val="20"/>
          <w:szCs w:val="20"/>
          <w:color w:val="auto"/>
        </w:rPr>
      </w:pPr>
    </w:p>
    <w:p>
      <w:pPr>
        <w:ind w:right="120" w:firstLine="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the early stages of clinical development and may not be successfully developed. If we are unable to successfully develop and commercialize these or any other product candidate, or if we experience significant delays in doing so, our business will be materially harmed.</w:t>
      </w:r>
    </w:p>
    <w:p>
      <w:pPr>
        <w:spacing w:after="0" w:line="67" w:lineRule="exact"/>
        <w:rPr>
          <w:sz w:val="20"/>
          <w:szCs w:val="20"/>
          <w:color w:val="auto"/>
        </w:rPr>
      </w:pPr>
    </w:p>
    <w:p>
      <w:pPr>
        <w:ind w:right="60" w:firstLine="599"/>
        <w:spacing w:after="0" w:line="258" w:lineRule="auto"/>
        <w:rPr>
          <w:sz w:val="20"/>
          <w:szCs w:val="20"/>
          <w:color w:val="auto"/>
        </w:rPr>
      </w:pPr>
      <w:r>
        <w:rPr>
          <w:rFonts w:ascii="Times New Roman" w:cs="Times New Roman" w:eastAsia="Times New Roman" w:hAnsi="Times New Roman"/>
          <w:sz w:val="18"/>
          <w:szCs w:val="18"/>
          <w:color w:val="auto"/>
        </w:rPr>
        <w:t>We currently do not have any products that have gained regulatory approval. We have invested substantially all of our efforts and financial resources in the development of our lead drug candidate tegoprubart, including funding non-clinical studies, clinical trials, drug formulation and the manufacturing of clinical trial materials. Our ability to generate product revenues, which we do not expect will occur for several years, if ever, will depend heavily on the successful development and eventual commercialization of one or more drug candidates. As a result, our business is substantially dependent on our ability to successfully complete the development of and obtain approval for one of our potential future additional product candidates.</w:t>
      </w:r>
    </w:p>
    <w:p>
      <w:pPr>
        <w:spacing w:after="0" w:line="183" w:lineRule="exact"/>
        <w:rPr>
          <w:sz w:val="20"/>
          <w:szCs w:val="20"/>
          <w:color w:val="auto"/>
        </w:rPr>
      </w:pPr>
    </w:p>
    <w:p>
      <w:pPr>
        <w:ind w:firstLine="599"/>
        <w:spacing w:after="0" w:line="282" w:lineRule="auto"/>
        <w:rPr>
          <w:sz w:val="20"/>
          <w:szCs w:val="20"/>
          <w:color w:val="auto"/>
        </w:rPr>
      </w:pPr>
      <w:r>
        <w:rPr>
          <w:rFonts w:ascii="Times New Roman" w:cs="Times New Roman" w:eastAsia="Times New Roman" w:hAnsi="Times New Roman"/>
          <w:sz w:val="18"/>
          <w:szCs w:val="18"/>
          <w:color w:val="auto"/>
        </w:rPr>
        <w:t>We have not yet demonstrated an ability to successfully overcome many of the risks and uncertainties frequently encountered by companies in new and rapidly evolving fields, particularly in the pharmaceutical area. For example, to execute our business plan, we will need to successfully:</w:t>
      </w:r>
    </w:p>
    <w:p>
      <w:pPr>
        <w:spacing w:after="0" w:line="54" w:lineRule="exact"/>
        <w:rPr>
          <w:sz w:val="20"/>
          <w:szCs w:val="20"/>
          <w:color w:val="auto"/>
        </w:rPr>
      </w:pPr>
    </w:p>
    <w:p>
      <w:pPr>
        <w:ind w:left="760" w:right="22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additional financing in order to advance our drug product through clinical development, and to manufacture, obtain regulatory approval for and commercialize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formulation, manufacturing, clinical, and non-clinical development activities;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drug products at commercial scale;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confirm commercially acceptable stability (shelf-life) of our drug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in-license or acquire other product candidates and advance them through clinical development;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 for the development and commercialization of tegoprubart or other product candidates;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maintain robust sales, distribution and marketing capabilities, either on our own or in collaboration with strategic partners;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market acceptance for any approved and marketed drug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adequate product pricing and reimbursement;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any strategic relationships we elect to enter; and</w:t>
      </w:r>
    </w:p>
    <w:p>
      <w:pPr>
        <w:spacing w:after="0" w:line="117" w:lineRule="exact"/>
        <w:rPr>
          <w:rFonts w:ascii="Times New Roman" w:cs="Times New Roman" w:eastAsia="Times New Roman" w:hAnsi="Times New Roman"/>
          <w:sz w:val="18"/>
          <w:szCs w:val="18"/>
          <w:color w:val="auto"/>
        </w:rPr>
      </w:pPr>
    </w:p>
    <w:p>
      <w:pPr>
        <w:ind w:left="760" w:righ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product manufacturing, non-clinical development, clinical trials, regulatory approvals, post-marketing commitments, and commercialization.</w:t>
      </w:r>
    </w:p>
    <w:p>
      <w:pPr>
        <w:spacing w:after="0" w:line="162" w:lineRule="exact"/>
        <w:rPr>
          <w:sz w:val="20"/>
          <w:szCs w:val="20"/>
          <w:color w:val="auto"/>
        </w:rPr>
      </w:pPr>
    </w:p>
    <w:p>
      <w:pPr>
        <w:ind w:right="460" w:firstLine="599"/>
        <w:spacing w:after="0" w:line="282"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develop and commercialize our or other product candidates, and our business will suffer.</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Public health crises, including pandemics or epidemics could adversely affect our business.</w:t>
      </w:r>
    </w:p>
    <w:p>
      <w:pPr>
        <w:spacing w:after="0" w:line="121" w:lineRule="exact"/>
        <w:rPr>
          <w:sz w:val="20"/>
          <w:szCs w:val="20"/>
          <w:color w:val="auto"/>
        </w:rPr>
      </w:pPr>
    </w:p>
    <w:p>
      <w:pPr>
        <w:ind w:firstLine="599"/>
        <w:spacing w:after="0" w:line="258" w:lineRule="auto"/>
        <w:rPr>
          <w:sz w:val="20"/>
          <w:szCs w:val="20"/>
          <w:color w:val="auto"/>
        </w:rPr>
      </w:pPr>
      <w:r>
        <w:rPr>
          <w:rFonts w:ascii="Times New Roman" w:cs="Times New Roman" w:eastAsia="Times New Roman" w:hAnsi="Times New Roman"/>
          <w:sz w:val="18"/>
          <w:szCs w:val="18"/>
          <w:color w:val="auto"/>
        </w:rPr>
        <w:t>Our business and operations, including but not limited to ongoing or planned research and development activities may be impacted by public health crises. For example, our business was adversely affected by the COVID-19 pandemic, which also caused significant disruption in the operations of third parties upon whom we rely. Other future public health crises, including any future pandemics or epidemics could have a similar impact on our business. We may experience, as we did with the COVID-19 pandemic, disruptions as a result of future public health crisis, such as a future pandemic or epidemic, that could severely impact our operations and development activities, including, but not limited to:</w:t>
      </w:r>
    </w:p>
    <w:p>
      <w:pPr>
        <w:spacing w:after="0" w:line="75" w:lineRule="exact"/>
        <w:rPr>
          <w:sz w:val="20"/>
          <w:szCs w:val="20"/>
          <w:color w:val="auto"/>
        </w:rPr>
      </w:pPr>
    </w:p>
    <w:p>
      <w:pPr>
        <w:ind w:left="760" w:right="54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of our drug candidates due to increased competition for manufacturing capacity as a result of the pandemic;</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development activities, including because of sickness of employees or their families or the desire of employees to avoid contact with large groups of people;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U.S. Food and Drug Administration (“FDA”) to accept data from clinical trials in affected geographies;</w:t>
      </w:r>
    </w:p>
    <w:p>
      <w:pPr>
        <w:spacing w:after="0" w:line="117"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procuring drug substance and/or in manufacturing drug product due to limitations in employee resources or forced furloughs at our contract manufacturing organizations;</w:t>
      </w:r>
    </w:p>
    <w:p>
      <w:pPr>
        <w:spacing w:after="0" w:line="53"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initiation of future clinical trials, including delays in receiving authorization from local regulatory authorities to initiate such clinical trials; and</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disturbances in enrollment and trial execution, for example, because clinical trial sites may be unable to operate normally, or patients may elect to forego visits to medical facilities or undertake voluntary medical procedures.</w:t>
      </w:r>
    </w:p>
    <w:p>
      <w:pPr>
        <w:spacing w:after="0" w:line="162" w:lineRule="exact"/>
        <w:rPr>
          <w:sz w:val="20"/>
          <w:szCs w:val="20"/>
          <w:color w:val="auto"/>
        </w:rPr>
      </w:pPr>
    </w:p>
    <w:p>
      <w:pPr>
        <w:ind w:right="300" w:firstLine="599"/>
        <w:spacing w:after="0" w:line="282" w:lineRule="auto"/>
        <w:rPr>
          <w:sz w:val="20"/>
          <w:szCs w:val="20"/>
          <w:color w:val="auto"/>
        </w:rPr>
      </w:pPr>
      <w:r>
        <w:rPr>
          <w:rFonts w:ascii="Times New Roman" w:cs="Times New Roman" w:eastAsia="Times New Roman" w:hAnsi="Times New Roman"/>
          <w:sz w:val="18"/>
          <w:szCs w:val="18"/>
          <w:color w:val="auto"/>
        </w:rPr>
        <w:t>Any of the foregoing factors, or other effects of any public health crisis, including any future pandemic or epidemic, could materially affect our business, possibly to a significant degree. The severity and duration of any such impacts cannot be predicted.</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and results of operations</w:t>
      </w:r>
    </w:p>
    <w:p>
      <w:pPr>
        <w:spacing w:after="0" w:line="121" w:lineRule="exact"/>
        <w:rPr>
          <w:sz w:val="20"/>
          <w:szCs w:val="20"/>
          <w:color w:val="auto"/>
        </w:rPr>
      </w:pPr>
    </w:p>
    <w:p>
      <w:pPr>
        <w:ind w:right="40" w:firstLine="599"/>
        <w:spacing w:after="0" w:line="255"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continues to experience extreme volatility and disruptions, including severely diminished liquidity and credit availability, declines in consumer confidence, declines in economic growth, increases in unemployment rates, elevated inflation and interest rates, changes in U.S. trade policy and uncertainty about economic stability. Likewise, the current conflicts in Ukraine and the Middle East have created volatility in the global capital markets and global economic consequences, including disruptions of the global supply chain and energy markets. A severe or prolonged economic downturn or continued volatility in the financial and credit markets could negatively impact our ability to obtain necessary debt or equity financing in a timely manner or on favorable terms, if at all. The severity and duration of any such impacts cannot be predicted. Any such failure to raise capital as and when needed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could have a negative impact on our financial condition and on our ability to pursue our business plans and strategies or cause us to delay our clinical development plans, research and development programs or commercialization efforts, out-license intellectual property rights to our product candidates or sell unsecured assets, or a combination of the above. Any of these actions could materially harm our business. For example, the initiation of a Phase 3 clinical trial in kidney transplantation and a potential company-sponsored study in islet cell transplantation would require substantial additional capital, and we would need to raise additional financing to initiate such trials. However, there can be no assurance such financing or other alternatives will be available to us on acceptable terms, or at all, for this trial or our other programs, which could force us to significantly alter our business strategy, substantially curtail our current operations, or liquidate and cease operations altogether.</w:t>
      </w:r>
    </w:p>
    <w:p>
      <w:pPr>
        <w:spacing w:after="0" w:line="189" w:lineRule="exact"/>
        <w:rPr>
          <w:sz w:val="20"/>
          <w:szCs w:val="20"/>
          <w:color w:val="auto"/>
        </w:rPr>
      </w:pPr>
    </w:p>
    <w:p>
      <w:pPr>
        <w:ind w:right="220" w:firstLine="599"/>
        <w:spacing w:after="0" w:line="256" w:lineRule="auto"/>
        <w:rPr>
          <w:sz w:val="20"/>
          <w:szCs w:val="20"/>
          <w:color w:val="auto"/>
        </w:rPr>
      </w:pPr>
      <w:r>
        <w:rPr>
          <w:rFonts w:ascii="Times New Roman" w:cs="Times New Roman" w:eastAsia="Times New Roman" w:hAnsi="Times New Roman"/>
          <w:sz w:val="18"/>
          <w:szCs w:val="18"/>
          <w:color w:val="auto"/>
        </w:rPr>
        <w:t>In addition, as a result of high levels of inflation, we have experienced and may continue to experience cost increases, including costs of clinical trials and research and development of our product candidates, production costs, the price of labor, administration and other costs of doing business. Although we may continue to take measures to mitigate the impact of this inflation, if these measures are not effective, our business, financial condition, results of operations and liquidity could be materially adversely affected. Further, in an inflationary environment, cost increases may outpace our expectations, causing us to use our cash and other liquid assets faster than forecasted. If this happens, we may need to raise more capital to fund our operations than expected, and such capital may not be available in sufficient amounts or on reasonable terms, if at all.</w:t>
      </w:r>
    </w:p>
    <w:p>
      <w:pPr>
        <w:spacing w:after="0" w:line="2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Adverse conditions in the financial markets, including bank failures, could adversely affect our liquidity and financial performance.</w:t>
      </w:r>
    </w:p>
    <w:p>
      <w:pPr>
        <w:spacing w:after="0" w:line="121" w:lineRule="exact"/>
        <w:rPr>
          <w:sz w:val="20"/>
          <w:szCs w:val="20"/>
          <w:color w:val="auto"/>
        </w:rPr>
      </w:pPr>
    </w:p>
    <w:p>
      <w:pPr>
        <w:ind w:firstLine="599"/>
        <w:spacing w:after="0" w:line="217" w:lineRule="exact"/>
        <w:rPr>
          <w:sz w:val="20"/>
          <w:szCs w:val="20"/>
          <w:color w:val="auto"/>
        </w:rPr>
      </w:pPr>
      <w:r>
        <w:rPr>
          <w:rFonts w:ascii="Times New Roman" w:cs="Times New Roman" w:eastAsia="Times New Roman" w:hAnsi="Times New Roman"/>
          <w:sz w:val="18"/>
          <w:szCs w:val="18"/>
          <w:color w:val="auto"/>
        </w:rPr>
        <w:t>We currently maintain domestic cash deposits, for short term operating requirements, in Federal Deposit Insurance Corporation (“FDIC”) insured banks, which exceed the FDIC insurance limits. Our additional cash and cash equivalents are held in accounts managed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financial institutions and consist primarily of cash invested in money market funds and government bonds. Bank failures, events involving limited liquidity, defaults, non-performance or other adverse developments that affect financial institutions, or concerns or rumors about such events, may lead to widespread demands for customer withdrawals and liquidity constraints that may result in market-wide liquidity problems. For example, on March 10, 2023, Silicon Valley Bank failed and was taken into receivership by the FDIC. At that time, we maintained deposits amounting to approximately 78% of our total cash at Silicon Valley Bank. On March 26, 2023, the assets, deposits and loans of Silicon Valley Bank were acquired by First-Citizens Bank &amp; Trust Company. In response to the failure of Silicon Valley Bank, we diversified our cash deposits into money market funds, U.S. treasuries and U.S. government agency securities and, as of the date of this report, our total cash maintained in FDIC insured banking accounts is less than 3% of our total cash and cash equivalents and short-term investments.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any applicable foreign government in the future or that any bank or financial institution with which we do business will be able to obtain needed liquidity from other banks, government institutions or by acquisition in the event of a future failure or liquidity crisis. Additionally, our cash investments outside of FDIC insured bank accounts are subject to general credit, liquidity, market, and interest rate risks. If the carrying value of an investment exceeds the fair value, and the decline in fair value is deemed to be other-than-temporary, we are required to write down the value of the investment, which could materially harm our results of operations and financial condition and could limit our access to liquidity.</w:t>
      </w:r>
    </w:p>
    <w:p>
      <w:pPr>
        <w:spacing w:after="0" w:line="312" w:lineRule="exact"/>
        <w:rPr>
          <w:sz w:val="20"/>
          <w:szCs w:val="20"/>
          <w:color w:val="auto"/>
        </w:rPr>
      </w:pPr>
    </w:p>
    <w:p>
      <w:pPr>
        <w:ind w:right="60" w:firstLine="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Drug development involves a lengthy and expensive process with an uncertain outcome, including failure to demonstrate safety and efficacy to the satisfaction of the FDA or similar regulatory authorities outside the United States. We may incur additional costs or experience delays in completing, or ultimately be unable to complete, the formulation and commercialization of our product candidates.</w:t>
      </w:r>
    </w:p>
    <w:p>
      <w:pPr>
        <w:spacing w:after="0" w:line="67" w:lineRule="exact"/>
        <w:rPr>
          <w:sz w:val="20"/>
          <w:szCs w:val="20"/>
          <w:color w:val="auto"/>
        </w:rPr>
      </w:pPr>
    </w:p>
    <w:p>
      <w:pPr>
        <w:ind w:right="20" w:firstLine="599"/>
        <w:spacing w:after="0" w:line="254" w:lineRule="auto"/>
        <w:rPr>
          <w:sz w:val="20"/>
          <w:szCs w:val="20"/>
          <w:color w:val="auto"/>
        </w:rPr>
      </w:pPr>
      <w:r>
        <w:rPr>
          <w:rFonts w:ascii="Times New Roman" w:cs="Times New Roman" w:eastAsia="Times New Roman" w:hAnsi="Times New Roman"/>
          <w:sz w:val="18"/>
          <w:szCs w:val="18"/>
          <w:color w:val="auto"/>
        </w:rPr>
        <w:t>Given the early stage of development for our product candidates, the risk of failure is high. Before obtaining marketing approval from regulatory authorities for the sale of any product candidate, we must conduct non-clinical trials and then conduct extensive clinical trials to demonstrate the safety and efficacy of our product candidates in humans. Formulation and device development, non-clinical and clinical testing are all expensive activities, difficult to design and implement, and can take years to complete. Failure can occur at any time during the development program, including during the clinical trial process. Further, the results of non-clinical studies and early clinical trials of our product candidates, as well as earlier generation formulations may not be predictive of the results of later-stage clinical trials. Interim results of a clinical trial do not necessarily predict final results. Moreover, non-clinical and clinical data are often susceptible to varying interpretations and analyses, and many companies that have believed their product candidates performed satisfactorily in non-clinical and clinical trials have nonetheless failed to obtain marketing approval of their products. There is a risk that additional non-clinical and/or clinical safety studies will be required by the FDA or similar regulatory authorities outside the United States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and/or that subsequent studies will not match results seen in prior studies. It is impossible to predict when or if any of our product candidates will prove effective, safe and well-tolerated in humans or will receive regulatory approval.</w:t>
      </w:r>
    </w:p>
    <w:p>
      <w:pPr>
        <w:spacing w:after="0" w:line="162" w:lineRule="exact"/>
        <w:rPr>
          <w:sz w:val="20"/>
          <w:szCs w:val="20"/>
          <w:color w:val="auto"/>
        </w:rPr>
      </w:pPr>
    </w:p>
    <w:p>
      <w:pPr>
        <w:ind w:firstLine="599"/>
        <w:spacing w:after="0" w:line="255" w:lineRule="auto"/>
        <w:rPr>
          <w:sz w:val="20"/>
          <w:szCs w:val="20"/>
          <w:color w:val="auto"/>
        </w:rPr>
      </w:pPr>
      <w:r>
        <w:rPr>
          <w:rFonts w:ascii="Times New Roman" w:cs="Times New Roman" w:eastAsia="Times New Roman" w:hAnsi="Times New Roman"/>
          <w:sz w:val="18"/>
          <w:szCs w:val="18"/>
          <w:color w:val="auto"/>
        </w:rPr>
        <w:t>We may experience delays in our clinical trials, and we do not know whether planned clinical trials will begin or enroll subjects on time, need to be redesigned or be completed on schedule, if at all. There can be no assurance that the FDA or equivalent foreign regulatory bodies will approve investigational new drug applications and allow us to start clinical trials for any of our product candidates in the future, including for islet cell transplant. Once a clinical trial has commenced, there is also no assurance that the FDA or equivalent foreign regulatory body will not put any of our product candidates on clinical hold. We may experience numerous unforeseen events during, or as a result of, clinical trials that could delay or prevent our ability to receive marketing approval or commercialize our product candidates. Clinical trials may be delayed, suspended or prematurely terminated for a variety of reasons, such as:</w:t>
      </w:r>
    </w:p>
    <w:p>
      <w:pPr>
        <w:spacing w:after="0" w:line="81"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reaching agreement with the FDA or a comparable foreign regulatory authority on a trial design that we want to execute;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authorization to commence a trial or inability to comply with conditions imposed by a regulatory authority regarding the scope or design of a clinical trial;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completing formulation development and manufacturing as a prerequisite to commencing clinical work;</w:t>
      </w:r>
    </w:p>
    <w:p>
      <w:pPr>
        <w:spacing w:after="0" w:line="117"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delay, or failure in identifying and maintaining a sufficient number of trial sites, many of which may already be engaged in other clinical programs;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recruiting and enrolling suitable subjects to participate in a trial;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having subjects complete a trial or return for post-treatment follow-up;</w:t>
      </w:r>
    </w:p>
    <w:p>
      <w:pPr>
        <w:spacing w:after="0" w:line="117"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and investigators deviating from trial protocol, failing to conduct the trial in accordance with regulatory requirements, or dropping out of a trial;</w:t>
      </w:r>
    </w:p>
    <w:p>
      <w:pPr>
        <w:spacing w:after="0" w:line="53"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 including the incurrence of unforeseen costs due to enrollment delays, requirements to conduct additional clinical trials and increased expenses associated with the services of our contract research organizations (“CROs”) and other third parties;</w:t>
      </w:r>
    </w:p>
    <w:p>
      <w:pPr>
        <w:spacing w:after="0" w:line="67" w:lineRule="exact"/>
        <w:rPr>
          <w:rFonts w:ascii="Times New Roman" w:cs="Times New Roman" w:eastAsia="Times New Roman" w:hAnsi="Times New Roman"/>
          <w:sz w:val="18"/>
          <w:szCs w:val="18"/>
          <w:color w:val="auto"/>
        </w:rPr>
      </w:pPr>
    </w:p>
    <w:p>
      <w:pPr>
        <w:ind w:left="760" w:right="54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or difficulties in the enrollment of patients that our product candidates are designed to target;</w:t>
      </w:r>
    </w:p>
    <w:p>
      <w:pPr>
        <w:spacing w:after="0" w:line="117"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partnering with experienced CROs and study sites that can identify patients that our product candidates are designed to target and run our clinical trials effectively;</w:t>
      </w:r>
    </w:p>
    <w:p>
      <w:pPr>
        <w:spacing w:after="0" w:line="53" w:lineRule="exact"/>
        <w:rPr>
          <w:rFonts w:ascii="Times New Roman" w:cs="Times New Roman" w:eastAsia="Times New Roman" w:hAnsi="Times New Roman"/>
          <w:sz w:val="18"/>
          <w:szCs w:val="18"/>
          <w:color w:val="auto"/>
        </w:rPr>
      </w:pPr>
    </w:p>
    <w:p>
      <w:pPr>
        <w:ind w:left="760" w:right="100" w:hanging="378"/>
        <w:spacing w:after="0" w:line="312" w:lineRule="auto"/>
        <w:tabs>
          <w:tab w:leader="none" w:pos="7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or institutional review boards (“IRBs”) may require that we or our investigators suspend or terminate clinical research for various reasons, including noncompliance with regulatory requirements or a finding that the participants are being exposed to unacceptable health risks;</w:t>
      </w:r>
    </w:p>
    <w:p>
      <w:pPr>
        <w:spacing w:after="0" w:line="3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760" w:right="8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or</w:t>
      </w:r>
    </w:p>
    <w:p>
      <w:pPr>
        <w:spacing w:after="0" w:line="53" w:lineRule="exact"/>
        <w:rPr>
          <w:rFonts w:ascii="Times New Roman" w:cs="Times New Roman" w:eastAsia="Times New Roman" w:hAnsi="Times New Roman"/>
          <w:sz w:val="18"/>
          <w:szCs w:val="18"/>
          <w:color w:val="auto"/>
        </w:rPr>
      </w:pPr>
    </w:p>
    <w:p>
      <w:pPr>
        <w:ind w:left="760" w:right="20" w:hanging="378"/>
        <w:spacing w:after="0" w:line="26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changes in governmental regulations or administrative actions. For example, the Trump administration issued an Executive Order that paused the FDA’s rulemaking ability and could affect recently finalized FDA rules that have not yet taken effect. The extent to which such existing or future executive orders impact the healthcare regulatory environment remains uncertain and could materially impact our development and commercialization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spacing w:after="0" w:line="256" w:lineRule="auto"/>
        <w:rPr>
          <w:sz w:val="20"/>
          <w:szCs w:val="20"/>
          <w:color w:val="auto"/>
        </w:rPr>
      </w:pPr>
      <w:r>
        <w:rPr>
          <w:rFonts w:ascii="Times New Roman" w:cs="Times New Roman" w:eastAsia="Times New Roman" w:hAnsi="Times New Roman"/>
          <w:sz w:val="18"/>
          <w:szCs w:val="18"/>
          <w:color w:val="auto"/>
        </w:rPr>
        <w:t>activities. In addition, our development and commercialization activities could be harmed or delayed by a shutdown of the U.S. government or reduction in funding or staffing at U.S. government agencies, including the FDA and SEC. For example, a prolonged shutdown or the reduction of funding or staffing at the FDA may significantly delay the FDA's ability to timely review and process any submissions we may file or cause other regulatory delays, which could materially and adversely affect our business. Further, government shutdowns and/or employee terminations or resignations at the SEC could impact our ability to access the public markets and obtain necessary capital in order to properly capitalize and continue our operations.</w:t>
      </w:r>
    </w:p>
    <w:p>
      <w:pPr>
        <w:spacing w:after="0" w:line="187" w:lineRule="exact"/>
        <w:rPr>
          <w:sz w:val="20"/>
          <w:szCs w:val="20"/>
          <w:color w:val="auto"/>
        </w:rPr>
      </w:pPr>
    </w:p>
    <w:p>
      <w:pPr>
        <w:jc w:val="both"/>
        <w:ind w:right="80" w:firstLine="59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that would reduce the potential market for our products or inhibit our ability to successfully commercialize our products;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restrictions and/or testing requirements;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right="80" w:firstLine="599"/>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marketing approvals. We do not know whether any of our non-clinical studies or clinical trials will need to be restructured or will be completed on schedule, or at all. Significant non-clinical or clinical trial delays also could shorten any periods during which we may have the exclusive right to commercialize our product candidates or may allow our competitors to bring products to market before we do and impair our ability to successfully commercialize our product candidates and may harm our business and results of operations.</w:t>
      </w:r>
    </w:p>
    <w:p>
      <w:pPr>
        <w:spacing w:after="0" w:line="287" w:lineRule="exact"/>
        <w:rPr>
          <w:sz w:val="20"/>
          <w:szCs w:val="20"/>
          <w:color w:val="auto"/>
        </w:rPr>
      </w:pPr>
    </w:p>
    <w:p>
      <w:pPr>
        <w:ind w:right="34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 and expenses for the development of our product candidates could increase.</w:t>
      </w:r>
    </w:p>
    <w:p>
      <w:pPr>
        <w:spacing w:after="0" w:line="51" w:lineRule="exact"/>
        <w:rPr>
          <w:sz w:val="20"/>
          <w:szCs w:val="20"/>
          <w:color w:val="auto"/>
        </w:rPr>
      </w:pPr>
    </w:p>
    <w:p>
      <w:pPr>
        <w:ind w:right="140" w:firstLine="599"/>
        <w:spacing w:after="0" w:line="25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to demonstrate safety and efficacy. We do not know whether the ongoing or planned clinical trials will enroll subjects in a timely fashion, require redesign of essential trial elements or be completed on its projected schedule. In addition, competitors may have ongoing clinical trials for product candidates that treat related or the same indications as our product candidates, and patients who would otherwise be eligible for our clinical trials may instead enroll in clinical trials of our competitors’ product candidates. Our inability to enroll a sufficient number of patients for our clinical trials would result in significant delays and could require us to abandon one or more clinical trials altogether.</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Patient enrollment is affected by other factors including:</w:t>
      </w:r>
    </w:p>
    <w:p>
      <w:pPr>
        <w:spacing w:after="0" w:line="117"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study in question;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identify and maintain a sufficient number of trial sites, many of which may already be engaged in other clinical trial programs, including some that may be for the same disease indication;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ambiguous or negative interim results of our clinical trials, or results that are inconsistent with earlier results;</w:t>
      </w:r>
    </w:p>
    <w:p>
      <w:pPr>
        <w:spacing w:after="0" w:line="117"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feedback from regulatory authorities, IRBs, ethics committees (“ECs”), or data safety monitoring boards, or results from earlier stage or concurrent non-clinical and clinical trials, that might require modifications to the protocol;</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right="4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regulatory authorities, IRBs, ECs, or the Company, or recommendations by data safety monitoring boards, to suspend or terminate clinical trials at any time for safety issues or for any other reason;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unacceptable risk-benefit profile or unforeseen safety issues or adverse effects.</w:t>
      </w:r>
    </w:p>
    <w:p>
      <w:pPr>
        <w:spacing w:after="0" w:line="225" w:lineRule="exact"/>
        <w:rPr>
          <w:sz w:val="20"/>
          <w:szCs w:val="20"/>
          <w:color w:val="auto"/>
        </w:rPr>
      </w:pPr>
    </w:p>
    <w:p>
      <w:pPr>
        <w:ind w:right="120" w:firstLine="599"/>
        <w:spacing w:after="0" w:line="282"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our product candidates, which would cause the value of the Company to decline and limit our ability to obtain additional financing.</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conduct clinical trials in some jurisdictions outside of the United States may be adversely affected.</w:t>
      </w:r>
    </w:p>
    <w:p>
      <w:pPr>
        <w:spacing w:after="0" w:line="121" w:lineRule="exact"/>
        <w:rPr>
          <w:sz w:val="20"/>
          <w:szCs w:val="20"/>
          <w:color w:val="auto"/>
        </w:rPr>
      </w:pPr>
    </w:p>
    <w:p>
      <w:pPr>
        <w:jc w:val="both"/>
        <w:ind w:right="220" w:firstLine="599"/>
        <w:spacing w:after="0" w:line="266" w:lineRule="auto"/>
        <w:rPr>
          <w:sz w:val="20"/>
          <w:szCs w:val="20"/>
          <w:color w:val="auto"/>
        </w:rPr>
      </w:pPr>
      <w:r>
        <w:rPr>
          <w:rFonts w:ascii="Times New Roman" w:cs="Times New Roman" w:eastAsia="Times New Roman" w:hAnsi="Times New Roman"/>
          <w:sz w:val="18"/>
          <w:szCs w:val="18"/>
          <w:color w:val="auto"/>
        </w:rPr>
        <w:t>We currently have clinical trial sites in regions outside the United States, including Asia, the European Union and the United Kingdom, and we will continue to conduct future clinical trials in these markets. Our ability to conduct clinical trials at sites located outside the United States is subject to numerous risks unique to conducting business in jurisdictions outside the United States, including:</w:t>
      </w:r>
    </w:p>
    <w:p>
      <w:pPr>
        <w:spacing w:after="0" w:line="68"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qualified CROs, physicians and clinical trial sites;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local standards for the conduct of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complying with various and complex import laws and regulations when shipping drugs to certain countries;</w:t>
      </w:r>
    </w:p>
    <w:p>
      <w:pPr>
        <w:spacing w:after="0" w:line="117" w:lineRule="exact"/>
        <w:rPr>
          <w:rFonts w:ascii="Times New Roman" w:cs="Times New Roman" w:eastAsia="Times New Roman" w:hAnsi="Times New Roman"/>
          <w:sz w:val="18"/>
          <w:szCs w:val="18"/>
          <w:color w:val="auto"/>
        </w:rPr>
      </w:pPr>
    </w:p>
    <w:p>
      <w:pPr>
        <w:ind w:left="760" w:right="8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laws, medical standards and regulatory requirements, including the regulation of pharmaceutical and biotechnology products and treatments;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consistency in standard of care from country to country;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117"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economic or political conditions, including inflation, recession and actual or anticipated military conflicts, social upheaval or political uncertainty;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country or regional regulatory requirements.</w:t>
      </w:r>
    </w:p>
    <w:p>
      <w:pPr>
        <w:spacing w:after="0" w:line="225" w:lineRule="exact"/>
        <w:rPr>
          <w:sz w:val="20"/>
          <w:szCs w:val="20"/>
          <w:color w:val="auto"/>
        </w:rPr>
      </w:pPr>
    </w:p>
    <w:p>
      <w:pPr>
        <w:ind w:right="140" w:firstLine="599"/>
        <w:spacing w:after="0" w:line="258" w:lineRule="auto"/>
        <w:rPr>
          <w:sz w:val="20"/>
          <w:szCs w:val="20"/>
          <w:color w:val="auto"/>
        </w:rPr>
      </w:pPr>
      <w:r>
        <w:rPr>
          <w:rFonts w:ascii="Times New Roman" w:cs="Times New Roman" w:eastAsia="Times New Roman" w:hAnsi="Times New Roman"/>
          <w:sz w:val="18"/>
          <w:szCs w:val="18"/>
          <w:color w:val="auto"/>
        </w:rPr>
        <w:t>The ongoing conflict in Ukraine and the resulting imposition of economic and other sanctions by the United States, European Union and many other nations on Russia, individuals in Russia, Russian businesses and the Russian central bank, or any escalation of tensions in the region, could have a broader impact that expands into other countries. The ongoing conflict in the Middle East could have similar impacts. Although the length and impact of any military action and expansion of the conflict into other countries are highly unpredictable, if either conflict spreads or has effects on additional countries, we may experience disruptions or delays in our plans to conduct clinical trial activities in affected regions outside the United States.</w:t>
      </w:r>
    </w:p>
    <w:p>
      <w:pPr>
        <w:spacing w:after="0" w:line="287" w:lineRule="exact"/>
        <w:rPr>
          <w:sz w:val="20"/>
          <w:szCs w:val="20"/>
          <w:color w:val="auto"/>
        </w:rPr>
      </w:pPr>
    </w:p>
    <w:p>
      <w:pPr>
        <w:ind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severe adverse events or unacceptable side effects are identified during the development of our product candidates, we may need to abandon or limit our development of some of our product candidates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firstLine="599"/>
        <w:spacing w:after="0" w:line="258" w:lineRule="auto"/>
        <w:rPr>
          <w:sz w:val="20"/>
          <w:szCs w:val="20"/>
          <w:color w:val="auto"/>
        </w:rPr>
      </w:pPr>
      <w:r>
        <w:rPr>
          <w:rFonts w:ascii="Times New Roman" w:cs="Times New Roman" w:eastAsia="Times New Roman" w:hAnsi="Times New Roman"/>
          <w:sz w:val="18"/>
          <w:szCs w:val="18"/>
          <w:color w:val="auto"/>
        </w:rPr>
        <w:t>If our product candidates are associated with severe adverse events or unacceptable side effects in non-clinical or clinical trials or have characteristics that are unexpected, we may need to interrupt, delay or abandon their development or limit development to more narrow uses or subpopulations in which the adverse event or undesirable side effects or other characteristics are less prevalent, less severe or more acceptable from a risk-benefit perspective. Any occurrences of clinically significant adverse events or unacceptable side effects with our product candidates may harm our business, financial condition and prospects significantly.</w:t>
      </w:r>
    </w:p>
    <w:p>
      <w:pPr>
        <w:spacing w:after="0" w:line="143" w:lineRule="exact"/>
        <w:rPr>
          <w:sz w:val="20"/>
          <w:szCs w:val="20"/>
          <w:color w:val="auto"/>
        </w:rPr>
      </w:pPr>
    </w:p>
    <w:p>
      <w:pPr>
        <w:ind w:right="160" w:firstLine="599"/>
        <w:spacing w:after="0" w:line="236" w:lineRule="exact"/>
        <w:rPr>
          <w:sz w:val="20"/>
          <w:szCs w:val="20"/>
          <w:color w:val="auto"/>
        </w:rPr>
      </w:pPr>
      <w:r>
        <w:rPr>
          <w:rFonts w:ascii="Times New Roman" w:cs="Times New Roman" w:eastAsia="Times New Roman" w:hAnsi="Times New Roman"/>
          <w:sz w:val="18"/>
          <w:szCs w:val="18"/>
          <w:color w:val="auto"/>
        </w:rPr>
        <w:t>Tegoprubart is an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candidate, and the side effect profile in humans has not been fully established. Currently unknown, drug-related side effects may be identified through ongoing and future clinical trials and, as such, these possible drug-related side effects could affect patient recruitment, the ability of enrolled subjects to complete the trial, or result in potential product liability claims.</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executives and key employees and to attract, retain and motivate qualified personnel in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w:t>
      </w:r>
    </w:p>
    <w:p>
      <w:pPr>
        <w:spacing w:after="0" w:line="99" w:lineRule="exact"/>
        <w:rPr>
          <w:sz w:val="20"/>
          <w:szCs w:val="20"/>
          <w:color w:val="auto"/>
        </w:rPr>
      </w:pPr>
    </w:p>
    <w:p>
      <w:pPr>
        <w:jc w:val="both"/>
        <w:ind w:right="160" w:firstLine="599"/>
        <w:spacing w:after="0" w:line="266" w:lineRule="auto"/>
        <w:rPr>
          <w:sz w:val="20"/>
          <w:szCs w:val="20"/>
          <w:color w:val="auto"/>
        </w:rPr>
      </w:pPr>
      <w:r>
        <w:rPr>
          <w:rFonts w:ascii="Times New Roman" w:cs="Times New Roman" w:eastAsia="Times New Roman" w:hAnsi="Times New Roman"/>
          <w:sz w:val="18"/>
          <w:szCs w:val="18"/>
          <w:color w:val="auto"/>
        </w:rPr>
        <w:t>We are highly dependent on the product development, clinical and business development expertise of the principal members of our management, scientific and clinical team. Although we have entered into employment agreements with our executives and key employees, each of them may terminate their employment with us at any time. We do not maintain “key person” insurance for any of our executives or other employees.</w:t>
      </w:r>
    </w:p>
    <w:p>
      <w:pPr>
        <w:spacing w:after="0" w:line="176" w:lineRule="exact"/>
        <w:rPr>
          <w:sz w:val="20"/>
          <w:szCs w:val="20"/>
          <w:color w:val="auto"/>
        </w:rPr>
      </w:pPr>
    </w:p>
    <w:p>
      <w:pPr>
        <w:ind w:right="60" w:firstLine="599"/>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sales and marketing personnel is critical to our success. Due to the small size of the Company and the limited number of employees, each of our executives and key employees serves in a critical role.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drug product, non-clinical development, clinical development, regulatory strategy, and commercial strategy. Our consultants and advisors may be employed by employers other than us and may have commitments under consulting or advisory contracts with other entities that may limit their availability to provide services to us. If we are unable to continue to attract and retain high quality personnel, our ability to pursue our growth strategy will be limited.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Regulatory Approval of Our Product Candidates and Other Compliance Matters</w:t>
      </w:r>
    </w:p>
    <w:p>
      <w:pPr>
        <w:spacing w:after="0" w:line="117" w:lineRule="exact"/>
        <w:rPr>
          <w:sz w:val="20"/>
          <w:szCs w:val="20"/>
          <w:color w:val="auto"/>
        </w:rPr>
      </w:pPr>
    </w:p>
    <w:p>
      <w:pPr>
        <w:ind w:right="6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or the approvals may be for a narrow indication, we may not be able to commercialize our product candidates, and our ability to generate revenue may be materially impaired.</w:t>
      </w:r>
    </w:p>
    <w:p>
      <w:pPr>
        <w:spacing w:after="0" w:line="51" w:lineRule="exact"/>
        <w:rPr>
          <w:sz w:val="20"/>
          <w:szCs w:val="20"/>
          <w:color w:val="auto"/>
        </w:rPr>
      </w:pPr>
    </w:p>
    <w:p>
      <w:pPr>
        <w:ind w:firstLine="599"/>
        <w:spacing w:after="0" w:line="252" w:lineRule="auto"/>
        <w:rPr>
          <w:sz w:val="20"/>
          <w:szCs w:val="20"/>
          <w:color w:val="auto"/>
        </w:rPr>
      </w:pPr>
      <w:r>
        <w:rPr>
          <w:rFonts w:ascii="Times New Roman" w:cs="Times New Roman" w:eastAsia="Times New Roman" w:hAnsi="Times New Roman"/>
          <w:sz w:val="18"/>
          <w:szCs w:val="18"/>
          <w:color w:val="auto"/>
        </w:rPr>
        <w:t>Our product candidates must be approved by the FDA pursuant to a new drug application in the United States and by other regulatory authorities outside the United States prior to commercialization in the respective regions. The process of obtaining marketing approvals, both in the United States and outside the United States, is expensive and takes several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any of our product candidates from regulatory authorities in any country. We have no experience in filing and supporting the applications necessary to gain marketing approvals for our products and may engage third-party consultants to assist in this process. Securing marketing approval requires the submission of extensive non-clinical and clinical data, and other supporting information to regulatory authorities for each therapeutic indication to establish the product candidate’s safety and efficacy. Securing marketing approval also requires the submission of information about the product formulation and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have substantial discretion in the approval process and may refuse to accept any application or may decide that our data are insufficient for approval and require additional non-clinical, clinical or other data. In addition, varying interpretations of the data obtained from non-clinical and clinical trials could delay, limit or prevent marketing approval of a product candidate.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95" w:lineRule="exact"/>
        <w:rPr>
          <w:sz w:val="20"/>
          <w:szCs w:val="20"/>
          <w:color w:val="auto"/>
        </w:rPr>
      </w:pPr>
    </w:p>
    <w:p>
      <w:pPr>
        <w:ind w:right="400" w:firstLine="599"/>
        <w:spacing w:after="0" w:line="266" w:lineRule="auto"/>
        <w:rPr>
          <w:sz w:val="20"/>
          <w:szCs w:val="20"/>
          <w:color w:val="auto"/>
        </w:rPr>
      </w:pPr>
      <w:r>
        <w:rPr>
          <w:rFonts w:ascii="Times New Roman" w:cs="Times New Roman" w:eastAsia="Times New Roman" w:hAnsi="Times New Roman"/>
          <w:sz w:val="18"/>
          <w:szCs w:val="18"/>
          <w:color w:val="auto"/>
        </w:rPr>
        <w:t>Any marketing approval we ultimately obtain may be for fewer or more limited indications than requested or subject to restrictions or post-approval commitments that render the approved product not commercially viable or its market potential significantly impaired. In addition, regulatory agencies may not approve the labeling claims that are necessary or desirable for the successful commercialization of our product candidates.</w:t>
      </w:r>
    </w:p>
    <w:p>
      <w:pPr>
        <w:spacing w:after="0" w:line="176" w:lineRule="exact"/>
        <w:rPr>
          <w:sz w:val="20"/>
          <w:szCs w:val="20"/>
          <w:color w:val="auto"/>
        </w:rPr>
      </w:pPr>
    </w:p>
    <w:p>
      <w:pPr>
        <w:ind w:right="260" w:firstLine="599"/>
        <w:spacing w:after="0" w:line="261" w:lineRule="auto"/>
        <w:rPr>
          <w:sz w:val="20"/>
          <w:szCs w:val="20"/>
          <w:color w:val="auto"/>
        </w:rPr>
      </w:pPr>
      <w:r>
        <w:rPr>
          <w:rFonts w:ascii="Times New Roman" w:cs="Times New Roman" w:eastAsia="Times New Roman" w:hAnsi="Times New Roman"/>
          <w:sz w:val="18"/>
          <w:szCs w:val="18"/>
          <w:color w:val="auto"/>
        </w:rPr>
        <w:t>In order to market and sell our products in the EU and other international jurisdictions outside of the United States, we or our third-party collaborators must obtain separate marketing approvals and comply with numerous and varying regulatory requirements. The approval procedure varies among countries and may require additional non-clinical, clinical or health outcome data. In addition, the time required to obtain approval may differ substantially amongst international jurisdictions.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regulatory approval process outside the United States generally includes all the risks associated with obtaining FDA approval. In addition to regulatory approval, in many countries outside the United States, it is required that the product be approved for reimbursement before the product can be approved for sale in that country.</w:t>
      </w:r>
    </w:p>
    <w:p>
      <w:pPr>
        <w:spacing w:after="0" w:line="176" w:lineRule="exact"/>
        <w:rPr>
          <w:sz w:val="20"/>
          <w:szCs w:val="20"/>
          <w:color w:val="auto"/>
        </w:rPr>
      </w:pPr>
    </w:p>
    <w:p>
      <w:pPr>
        <w:ind w:right="140" w:firstLine="59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66" w:lineRule="exact"/>
        <w:rPr>
          <w:sz w:val="20"/>
          <w:szCs w:val="20"/>
          <w:color w:val="auto"/>
        </w:rPr>
      </w:pPr>
    </w:p>
    <w:p>
      <w:pPr>
        <w:ind w:right="120" w:firstLine="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67" w:lineRule="exact"/>
        <w:rPr>
          <w:sz w:val="20"/>
          <w:szCs w:val="20"/>
          <w:color w:val="auto"/>
        </w:rPr>
      </w:pPr>
    </w:p>
    <w:p>
      <w:pPr>
        <w:ind w:right="80" w:firstLine="599"/>
        <w:spacing w:after="0" w:line="255"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testing, manufacture, recordkeeping, labeling, storage, approval, advertising, promotion, sale and distribution, are subject to comprehensive regulations that are specific to those defined by regulatory authorities in the countries where the product is approved. In the United States and other countries that follow the International Conference on Harmonization, these requirements include submissions of safety and other post-marketing information and reports, registration and listing requirements, cGMP requirements relating to manufacturing, quality control, quality assurance and corresponding maintenance of records and documents, including periodic inspections by the FDA and other regulatory authorities, requirements regarding the distribution of samples to physicians and recordkeeping.</w:t>
      </w:r>
    </w:p>
    <w:p>
      <w:pPr>
        <w:spacing w:after="0" w:line="189" w:lineRule="exact"/>
        <w:rPr>
          <w:sz w:val="20"/>
          <w:szCs w:val="20"/>
          <w:color w:val="auto"/>
        </w:rPr>
      </w:pPr>
    </w:p>
    <w:p>
      <w:pPr>
        <w:ind w:right="60" w:firstLine="599"/>
        <w:spacing w:after="0" w:line="256" w:lineRule="auto"/>
        <w:rPr>
          <w:sz w:val="20"/>
          <w:szCs w:val="20"/>
          <w:color w:val="auto"/>
        </w:rPr>
      </w:pPr>
      <w:r>
        <w:rPr>
          <w:rFonts w:ascii="Times New Roman" w:cs="Times New Roman" w:eastAsia="Times New Roman" w:hAnsi="Times New Roman"/>
          <w:sz w:val="18"/>
          <w:szCs w:val="18"/>
          <w:color w:val="auto"/>
        </w:rPr>
        <w:t>The FDA, or other regulatory authorities, may also impose requirements for costly post-marketing studies or clinical trials and surveillance to monitor the safety or efficacy of the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we may be subject to enforcement action for off-label promotion. Violations of the Federal Food, Drug, and Cosmetic Act relating to the promotion of prescription drugs may lead to investigations alleging violations of federal and state healthcare fraud and abuse laws, as well as state consumer protection laws.</w:t>
      </w:r>
    </w:p>
    <w:p>
      <w:pPr>
        <w:spacing w:after="0" w:line="187" w:lineRule="exact"/>
        <w:rPr>
          <w:sz w:val="20"/>
          <w:szCs w:val="20"/>
          <w:color w:val="auto"/>
        </w:rPr>
      </w:pPr>
    </w:p>
    <w:p>
      <w:pPr>
        <w:ind w:right="40" w:firstLine="59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54"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firstLine="599"/>
        <w:spacing w:after="0" w:line="266" w:lineRule="auto"/>
        <w:rPr>
          <w:sz w:val="20"/>
          <w:szCs w:val="20"/>
          <w:color w:val="auto"/>
        </w:rPr>
      </w:pPr>
      <w:r>
        <w:rPr>
          <w:rFonts w:ascii="Times New Roman" w:cs="Times New Roman" w:eastAsia="Times New Roman" w:hAnsi="Times New Roman"/>
          <w:sz w:val="18"/>
          <w:szCs w:val="18"/>
          <w:color w:val="auto"/>
        </w:rPr>
        <w:t>Non-compliance with EU requirements regarding safety monitoring or pharmacovigilance, and with requirements related to the development of products for the pediatric population, can also result in significant financial penalties. Similarly, failure to comply with the EU’s requirements regarding the protection of personal information can also lead to significant penalties and sanctions.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Legislation regulating the pharmaceutical and healthcare industries may increase the difficulty and cost for us to obtain marketing approval of and commercialize our product candidates and affect the prices we may obtain.</w:t>
      </w:r>
    </w:p>
    <w:p>
      <w:pPr>
        <w:spacing w:after="0" w:line="51" w:lineRule="exact"/>
        <w:rPr>
          <w:sz w:val="20"/>
          <w:szCs w:val="20"/>
          <w:color w:val="auto"/>
        </w:rPr>
      </w:pPr>
    </w:p>
    <w:p>
      <w:pPr>
        <w:ind w:right="20" w:firstLine="599"/>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intended to contain healthcare costs and modify the regulation of drug and biologic products. These and other regulatory changes could prevent or delay marketing approval of our product candidates, restrict or regulate post-approval activities and affect our ability to profitably sell any product candidates for which we obtain marketing approval.</w:t>
      </w:r>
    </w:p>
    <w:p>
      <w:pPr>
        <w:spacing w:after="0" w:line="180" w:lineRule="exact"/>
        <w:rPr>
          <w:sz w:val="20"/>
          <w:szCs w:val="20"/>
          <w:color w:val="auto"/>
        </w:rPr>
      </w:pPr>
    </w:p>
    <w:p>
      <w:pPr>
        <w:ind w:right="120" w:firstLine="599"/>
        <w:spacing w:after="0" w:line="254" w:lineRule="auto"/>
        <w:rPr>
          <w:sz w:val="20"/>
          <w:szCs w:val="20"/>
          <w:color w:val="auto"/>
        </w:rPr>
      </w:pPr>
      <w:r>
        <w:rPr>
          <w:rFonts w:ascii="Times New Roman" w:cs="Times New Roman" w:eastAsia="Times New Roman" w:hAnsi="Times New Roman"/>
          <w:sz w:val="18"/>
          <w:szCs w:val="18"/>
          <w:color w:val="080808"/>
        </w:rPr>
        <w:t>For example, in 2022, the U.S. government enacted the Inflation Reduction Act of 2022, which, among other things, includes policies that are designed to have a direct impact on drug prices and reduce drug spending by the federal government, which took effect in 2023. The Inflation Reduction Act of 2022 requires drug manufacturers to pay rebates to Medicare if they increase prices faster than inflation for certain drugs used by Medicare beneficiaries. The mechanics of the rebate calculation are similar to those of the Medicaid rebate, but the expansion of inflation-based rebates may further complicate pricing strategies. In addition, in 2025, President Trump issued executive orders focused on lowering drug prices in the U.S. It is unclear how these drug pricing initiatives will affect what actions will be implemented by the Department of Health and Human Services, Centers for Medicare and Medicaid Services (“CMS”), or FDA, and how those actions will impact our industry and our business. The Inflation Reduction Act of 2022 or other similar legislation could have the effect of reducing the prices we can charge and reimbursement we receive for our products, thereby reducing our profitability.</w:t>
      </w:r>
    </w:p>
    <w:p>
      <w:pPr>
        <w:spacing w:after="0" w:line="188" w:lineRule="exact"/>
        <w:rPr>
          <w:sz w:val="20"/>
          <w:szCs w:val="20"/>
          <w:color w:val="auto"/>
        </w:rPr>
      </w:pPr>
    </w:p>
    <w:p>
      <w:pPr>
        <w:ind w:right="240" w:firstLine="59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and regulations will be adopted in the future. Any of these measures and regulations could limit the amounts that federal and state governments will pay for healthcare products and services, result in reduced demand for our product candidates or additional pricing pressures and affect our product development, testing, marketing approvals and post-market activities.</w:t>
      </w:r>
    </w:p>
    <w:p>
      <w:pPr>
        <w:spacing w:after="0" w:line="176" w:lineRule="exact"/>
        <w:rPr>
          <w:sz w:val="20"/>
          <w:szCs w:val="20"/>
          <w:color w:val="auto"/>
        </w:rPr>
      </w:pPr>
    </w:p>
    <w:p>
      <w:pPr>
        <w:ind w:right="80" w:firstLine="599"/>
        <w:spacing w:after="0" w:line="255" w:lineRule="auto"/>
        <w:rPr>
          <w:sz w:val="20"/>
          <w:szCs w:val="20"/>
          <w:color w:val="auto"/>
        </w:rPr>
      </w:pPr>
      <w:r>
        <w:rPr>
          <w:rFonts w:ascii="Times New Roman" w:cs="Times New Roman" w:eastAsia="Times New Roman" w:hAnsi="Times New Roman"/>
          <w:sz w:val="18"/>
          <w:szCs w:val="18"/>
          <w:color w:val="auto"/>
        </w:rPr>
        <w:t xml:space="preserve">Recent administrative law cases decided by the U.S. Supreme Court in 2024 may create uncertainty with respect to actions taken by regulatory agencies to interpret, implement and enforce federal legislation. For example, in its June 2024 decision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decision”), the U.S. Supreme Court overturned the longstanding Chevron doctrine, under which courts were required to give deference to regulatory agencies’ reasonable interpretations of ambiguous federal statutes. The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decision could result in legal challenges to regulations and guidance issued by federal agencies that are currently applicable to or will be applicable to our business, including those issued by the FDA and the CMS. Further, the </w:t>
      </w:r>
      <w:r>
        <w:rPr>
          <w:rFonts w:ascii="Times New Roman" w:cs="Times New Roman" w:eastAsia="Times New Roman" w:hAnsi="Times New Roman"/>
          <w:sz w:val="18"/>
          <w:szCs w:val="18"/>
          <w:i w:val="1"/>
          <w:iCs w:val="1"/>
          <w:color w:val="auto"/>
        </w:rPr>
        <w:t xml:space="preserve">Loper </w:t>
      </w:r>
      <w:r>
        <w:rPr>
          <w:rFonts w:ascii="Times New Roman" w:cs="Times New Roman" w:eastAsia="Times New Roman" w:hAnsi="Times New Roman"/>
          <w:sz w:val="18"/>
          <w:szCs w:val="18"/>
          <w:color w:val="auto"/>
        </w:rPr>
        <w:t>decision may result in increased regulatory uncertainty, inconsistent judicial interpretations and delays in or other impacts to the agency rulemaking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which could have a material adverse effect on our business, financial condition and results of operations.</w:t>
      </w:r>
    </w:p>
    <w:p>
      <w:pPr>
        <w:spacing w:after="0" w:line="189" w:lineRule="exact"/>
        <w:rPr>
          <w:sz w:val="20"/>
          <w:szCs w:val="20"/>
          <w:color w:val="auto"/>
        </w:rPr>
      </w:pPr>
    </w:p>
    <w:p>
      <w:pPr>
        <w:ind w:right="140" w:firstLine="599"/>
        <w:spacing w:after="0" w:line="266" w:lineRule="auto"/>
        <w:rPr>
          <w:sz w:val="20"/>
          <w:szCs w:val="20"/>
          <w:color w:val="auto"/>
        </w:rPr>
      </w:pPr>
      <w:r>
        <w:rPr>
          <w:rFonts w:ascii="Times New Roman" w:cs="Times New Roman" w:eastAsia="Times New Roman" w:hAnsi="Times New Roman"/>
          <w:sz w:val="18"/>
          <w:szCs w:val="18"/>
          <w:color w:val="080808"/>
        </w:rPr>
        <w:t>Laws, restrictions, and other regulatory measures imposed in international jurisdictions present similar challenges to those in the United States, including increased difficulty and cost in obtaining marketing approval and commercializing of our product candidates, as well as potential limitations on the prices we may obtain.</w:t>
      </w:r>
    </w:p>
    <w:p>
      <w:pPr>
        <w:spacing w:after="0" w:line="176" w:lineRule="exact"/>
        <w:rPr>
          <w:sz w:val="20"/>
          <w:szCs w:val="20"/>
          <w:color w:val="auto"/>
        </w:rPr>
      </w:pPr>
    </w:p>
    <w:p>
      <w:pPr>
        <w:jc w:val="both"/>
        <w:ind w:right="240" w:firstLine="599"/>
        <w:spacing w:after="0" w:line="258" w:lineRule="auto"/>
        <w:rPr>
          <w:sz w:val="20"/>
          <w:szCs w:val="20"/>
          <w:color w:val="auto"/>
        </w:rPr>
      </w:pPr>
      <w:r>
        <w:rPr>
          <w:rFonts w:ascii="Times New Roman" w:cs="Times New Roman" w:eastAsia="Times New Roman" w:hAnsi="Times New Roman"/>
          <w:sz w:val="18"/>
          <w:szCs w:val="18"/>
          <w:color w:val="auto"/>
        </w:rPr>
        <w:t>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87" w:lineRule="exact"/>
        <w:rPr>
          <w:sz w:val="20"/>
          <w:szCs w:val="20"/>
          <w:color w:val="auto"/>
        </w:rPr>
      </w:pPr>
    </w:p>
    <w:p>
      <w:pPr>
        <w:ind w:firstLine="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relationships with healthcare providers, physicians, third-party payers, and customers will be subject to applicable anti-kickback, fraud and abuse and other broadly applicable healthcare laws, which could expose us to criminal sanctions, civil penalties, program exclusion, contractual damages, reputational harm and diminished profits and future earnings.</w:t>
      </w:r>
    </w:p>
    <w:p>
      <w:pPr>
        <w:spacing w:after="0" w:line="67"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third-party payers will play a primary role in the recommendation and prescription of any product candidates for which we receive marketing approval. Our current and future arrangements may expose us to broadly applicable fraud and abuse and other healthcare laws that may constrain the business or financial arrangements and relationships through which we would market, sell and distribute the products for which we receive marketing approval. Even though we will not control referrals of healthcare services or bill directly to Medicare, Medicaid or other third-party payers, federal and state healthcare laws are and will be applicable to our business. Such laws include, but are not limited to federal false claims, false statements and civil monetary penalties laws, including the federal civil False Claims Act (“FCA”), the federal Anti-Kickback Statute, the federal Health Insurance Portability and Accountability Act of 1996 (“HIPAA”), patient data privacy and security regulation, including, in the United States, HIPAA, as amended by the</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Health Information Technology for Clinical Health Act of 2009 (“HITECH”), the federal transparency requirements under the Physician Payments Sunshine Act, and analogous state, local or foreign law.</w:t>
      </w:r>
    </w:p>
    <w:p>
      <w:pPr>
        <w:spacing w:after="0" w:line="162" w:lineRule="exact"/>
        <w:rPr>
          <w:sz w:val="20"/>
          <w:szCs w:val="20"/>
          <w:color w:val="auto"/>
        </w:rPr>
      </w:pPr>
    </w:p>
    <w:p>
      <w:pPr>
        <w:ind w:right="20" w:firstLine="599"/>
        <w:spacing w:after="0" w:line="255" w:lineRule="auto"/>
        <w:rPr>
          <w:sz w:val="20"/>
          <w:szCs w:val="20"/>
          <w:color w:val="auto"/>
        </w:rPr>
      </w:pPr>
      <w:r>
        <w:rPr>
          <w:rFonts w:ascii="Times New Roman" w:cs="Times New Roman" w:eastAsia="Times New Roman" w:hAnsi="Times New Roman"/>
          <w:sz w:val="18"/>
          <w:szCs w:val="18"/>
          <w:color w:val="auto"/>
        </w:rPr>
        <w:t>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w:t>
      </w:r>
    </w:p>
    <w:p>
      <w:pPr>
        <w:spacing w:after="0" w:line="189" w:lineRule="exact"/>
        <w:rPr>
          <w:sz w:val="20"/>
          <w:szCs w:val="20"/>
          <w:color w:val="auto"/>
        </w:rPr>
      </w:pPr>
    </w:p>
    <w:p>
      <w:pPr>
        <w:ind w:firstLine="599"/>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these laws or any other governmental regulations that may apply to us, we may be subject to significant civil, criminal and administrative penalties, damages, disgorgement, fines, imprisonment, exclusion from government funded healthcare programs, such as Medicare and Medicaid, additional oversight and reporting obligations, contractual damages, reputational harm, diminished profits and future earnings, and the curtailment or restructuring of our operations. If any of the physicians or other healthcare providers or entities with whom we expect to do business are found to be not in compliance with applicable laws, that person or entity may be subject to criminal, civil or administrative sanctions, including exclusions from government funded healthcare programs.</w:t>
      </w:r>
    </w:p>
    <w:p>
      <w:pPr>
        <w:spacing w:after="0" w:line="187" w:lineRule="exact"/>
        <w:rPr>
          <w:sz w:val="20"/>
          <w:szCs w:val="20"/>
          <w:color w:val="auto"/>
        </w:rPr>
      </w:pPr>
    </w:p>
    <w:p>
      <w:pPr>
        <w:ind w:right="60" w:firstLine="599"/>
        <w:spacing w:after="0" w:line="266" w:lineRule="auto"/>
        <w:rPr>
          <w:sz w:val="20"/>
          <w:szCs w:val="20"/>
          <w:color w:val="auto"/>
        </w:rPr>
      </w:pPr>
      <w:r>
        <w:rPr>
          <w:rFonts w:ascii="Times New Roman" w:cs="Times New Roman" w:eastAsia="Times New Roman" w:hAnsi="Times New Roman"/>
          <w:sz w:val="18"/>
          <w:szCs w:val="18"/>
          <w:color w:val="auto"/>
        </w:rPr>
        <w:t>Laws, restrictions, and other regulatory measures are also imposed by anti-kickback, fraud and abuse, and other healthcare laws and regulations in international jurisdictions, and in those jurisdictions we face the same issues as in the United States regarding exposure to criminal sanctions, civil penalties, program exclusion, contractual damages, reputational harm, and diminished profits and future earnings.</w:t>
      </w:r>
    </w:p>
    <w:p>
      <w:pPr>
        <w:spacing w:after="0" w:line="280" w:lineRule="exact"/>
        <w:rPr>
          <w:sz w:val="20"/>
          <w:szCs w:val="20"/>
          <w:color w:val="auto"/>
        </w:rPr>
      </w:pPr>
    </w:p>
    <w:p>
      <w:pPr>
        <w:ind w:right="20" w:firstLine="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systems and those of our third-party collaborators, service providers, contractors or consultants, which may fail or suffer cybersecurity incidents that could result in a material disruption of our development programs or loss of data and have a material adverse effect on our reputation, business, financial condition or results of operations.</w:t>
      </w:r>
    </w:p>
    <w:p>
      <w:pPr>
        <w:spacing w:after="0" w:line="67" w:lineRule="exact"/>
        <w:rPr>
          <w:sz w:val="20"/>
          <w:szCs w:val="20"/>
          <w:color w:val="auto"/>
        </w:rPr>
      </w:pPr>
    </w:p>
    <w:p>
      <w:pPr>
        <w:ind w:firstLine="599"/>
        <w:spacing w:after="0" w:line="252" w:lineRule="auto"/>
        <w:rPr>
          <w:sz w:val="20"/>
          <w:szCs w:val="20"/>
          <w:color w:val="auto"/>
        </w:rPr>
      </w:pPr>
      <w:r>
        <w:rPr>
          <w:rFonts w:ascii="Times New Roman" w:cs="Times New Roman" w:eastAsia="Times New Roman" w:hAnsi="Times New Roman"/>
          <w:sz w:val="18"/>
          <w:szCs w:val="18"/>
          <w:color w:val="auto"/>
        </w:rPr>
        <w:t>We rely on our information systems and infrastructure to effectively manage our business, including our clinical trials and studies. Our information systems and infrastructure, and those of our current or future third-party collaborators, service providers, contractors and consultants are vulnerable to damage from cybersecurity incidents, including computer viruses, denial-of-service attacks, hacking, phishing and other social engineering attacks, unauthorized access or use resulting from malware, as well as disruptions due to natural disasters, terrorism, war, mistakes or technical errors, including due to software updates and telecommunication and electrical failures. We may also experience cybersecurity incidents stemming from persons inside our organizations (including employees or contractors), or other persons with access to information systems inside our organization. Attacks on information systems are increasing in their frequency, levels of persistence, sophistication and intensity, and they are being conducted by increasingly sophisticated and organized foreign governments, groups and individuals with a wide range of motives and expertise. Further, cybersecurity threats and the techniques used in cyberattacks change, develop and evolve rapidly, including from emerging technologies, such as advanced forms of artificial intelligence and quantum computing. In addition to extracting or accessing sensitive information, such attacks could include the deployment of harmful malware, ransomware, denial-of-service attacks, social engineering and other means to affect service reliability and threaten the security, confidentiality, integrity and availability of information. The prevalent use of mobile devices that access sensitive information also increases the risk of data security incidents which could lead to the loss of confidential information or other intellectual property. Information system disruptions, even if inadvertent, may limit or disable our access or important third parties’ access to our systems. While to our knowledge none of the cybersecurity incidents we have experienced to date have had a material adverse impact on our business, financial condition or operations, if such an event were to occur and cause interruptions in our operations or the operations of third-party collaborators, service providers, contractors or consultants, it could result in a material disruption of our development programs and significant reputational, financial, legal, regulatory, business or operational harm. The costs to us to mitigate, investigate and respond to potential security incidents, breaches, disruptions, network security problems, bugs, viruses, worms, malicious software programs and security vulnerabilities could be significant, and while we have implemented security measures to protect our data security and information systems, our efforts to address these problems may not be successful, and these problems could result in unexpected interruptions, delays, cessation of service and other harm to our business and our competitive position.</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Moreover, data security incidents and other security breaches can be difficult to detect, and any delay in identifying them may lead to increased harm.</w:t>
      </w:r>
    </w:p>
    <w:p>
      <w:pPr>
        <w:spacing w:after="0" w:line="329" w:lineRule="exact"/>
        <w:rPr>
          <w:sz w:val="20"/>
          <w:szCs w:val="20"/>
          <w:color w:val="auto"/>
        </w:rPr>
      </w:pPr>
    </w:p>
    <w:p>
      <w:pPr>
        <w:ind w:right="48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compromise of privacy, security, integrity or confidentiality of sensitive information related to our business or failure to comply with confidentiality and data privacy obligations could have a material adverse effect on our business.</w:t>
      </w:r>
    </w:p>
    <w:p>
      <w:pPr>
        <w:spacing w:after="0" w:line="51" w:lineRule="exact"/>
        <w:rPr>
          <w:sz w:val="20"/>
          <w:szCs w:val="20"/>
          <w:color w:val="auto"/>
        </w:rPr>
      </w:pPr>
    </w:p>
    <w:p>
      <w:pPr>
        <w:ind w:firstLine="599"/>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collect, store and transmit large amounts of confidential information, including intellectual property, proprietary business information and personal information. For example, the loss of clinical trial data from completed, ongoing or planned clinical trials for our product candidates could result in delays in our regulatory approval efforts and significantly increase our costs to recover or reproduce the data. To the extent that any real or perceived security breach affects our information systems (or those of our third-party collaborators, service providers, contractors or consultants), or results in the loss of or accidental, unlawful or unauthorized access to, use of, release of, or other processing of personally identifiable information or damage to our data or applications or other data or applications relating to our technology or product candidates, or inappropriate disclosure of confidential or proprietary information, we could be found to have violated applicable U.S. and international privacy, data protection and other laws, which could subject us to litigation and governmental investigations and proceedings by federal, state and local regulatory entities in the U.S. and by international regulatory entities, resulting in exposure to material civil and/or criminal liability, and the further development of our product candidates could be delayed. Such a breach may require notification to governmental agencies, the media or individuals pursuant to various foreign, domestic (federal and state) privacy and security laws, if applicable, including HIPAA, as amended by HITECH, and its implementing rules and regulations, as well as regulations promulgated by the Federal Trade Commission and state breach notification laws. In addition, our liability insurance may not be sufficient in type or amount to cover us against claims related to cybersecurity incidents.</w:t>
      </w:r>
    </w:p>
    <w:p>
      <w:pPr>
        <w:spacing w:after="0" w:line="187" w:lineRule="exact"/>
        <w:rPr>
          <w:sz w:val="20"/>
          <w:szCs w:val="20"/>
          <w:color w:val="auto"/>
        </w:rPr>
      </w:pPr>
    </w:p>
    <w:p>
      <w:pPr>
        <w:ind w:right="60" w:firstLine="599"/>
        <w:spacing w:after="0" w:line="254" w:lineRule="auto"/>
        <w:rPr>
          <w:sz w:val="20"/>
          <w:szCs w:val="20"/>
          <w:color w:val="auto"/>
        </w:rPr>
      </w:pPr>
      <w:r>
        <w:rPr>
          <w:rFonts w:ascii="Times New Roman" w:cs="Times New Roman" w:eastAsia="Times New Roman" w:hAnsi="Times New Roman"/>
          <w:sz w:val="18"/>
          <w:szCs w:val="18"/>
          <w:color w:val="auto"/>
        </w:rPr>
        <w:t>Any failure or perceived failure by us or any third-party collaborators, service providers, contractors or consultants to comply with our privacy, confidentiality, data security or similar obligations, or any data security incidents or other security breaches that result in the accidental, unlawful or unauthorized access to, use of, release of, processing of, or transfer of sensitive information, including personally identifiable information, may result in negative publicity, harm to our reputation, governmental investigations, enforcement actions, regulatory fines, litigation or public statements against us, could cause third parties to lose trust in us or could result in claims by third parties, including those that assert that we have breached our privacy, confidentiality, data security or similar obligations, any of which could have a material adverse effect on our reputation, business, financial condition or results of operations. To the extent we maintain individually identifiable health information, we could be subject to fines and penalties (including civil and criminal) under HIPAA for any failure by us or our business associates to comply with HIPAA’s requirements.</w:t>
      </w:r>
    </w:p>
    <w:p>
      <w:pPr>
        <w:spacing w:after="0" w:line="296" w:lineRule="exact"/>
        <w:rPr>
          <w:sz w:val="20"/>
          <w:szCs w:val="20"/>
          <w:color w:val="auto"/>
        </w:rPr>
      </w:pPr>
    </w:p>
    <w:p>
      <w:pPr>
        <w:ind w:right="10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collection, use, processing and cross-border transfer of personal information.</w:t>
      </w:r>
    </w:p>
    <w:p>
      <w:pPr>
        <w:spacing w:after="0" w:line="51" w:lineRule="exact"/>
        <w:rPr>
          <w:sz w:val="20"/>
          <w:szCs w:val="20"/>
          <w:color w:val="auto"/>
        </w:rPr>
      </w:pPr>
    </w:p>
    <w:p>
      <w:pPr>
        <w:ind w:right="60" w:firstLine="599"/>
        <w:spacing w:after="0" w:line="268" w:lineRule="auto"/>
        <w:rPr>
          <w:sz w:val="20"/>
          <w:szCs w:val="20"/>
          <w:color w:val="auto"/>
        </w:rPr>
      </w:pPr>
      <w:r>
        <w:rPr>
          <w:rFonts w:ascii="Times New Roman" w:cs="Times New Roman" w:eastAsia="Times New Roman" w:hAnsi="Times New Roman"/>
          <w:sz w:val="17"/>
          <w:szCs w:val="17"/>
          <w:color w:val="auto"/>
        </w:rPr>
        <w:t>We may collect, process, use or transfer personal information from individuals located in the European Economic Area (the “EEA”) in connection with our business, including in connection with conducting clinical trials in the EEA. Additionally, if any of our product candidates are approved, we may seek to commercialize those products in the EEA. The collection and use of personal health data in the EEA is governed by the provisions of the General Data Protection Regulation ((EU) 2016/679) (the “GDPR”), along with other European Union and country-specific laws and regulations. The United Kingdom and Switzerland have also adopted data protection laws and regulations. These legislative acts (together with regulations and guidelines) impose requirements relating to having legal bases for processing personal data relating to identifiable individuals and transferring such data outside of the EEA, including to the United States, providing details to those individuals regarding the processing of their personal data, keeping personal data secure, having data processing agreements with third parties who process personal data, responding to individuals’ requests to exercise their rights in respect of their personal data, reporting security breaches involving personal data to the competent national data protection authority and affected individuals, appointing data protection officers or corporate representatives,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EEA and other states in the EEA may result in substantial fines, other administrative penalties and civil claims being brought against us, which could have a material adverse effect on our business, financial condition and results of operations. European data protection authorities may interpret the GDPR and national laws differently and may impose additional requirements, which adds to the complexity of processing personal data in or from the EEA or United Kingdom. Guidance on implementation and compliance practices are often updated or otherwise revised.</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180" w:firstLine="599"/>
        <w:spacing w:after="0" w:line="266" w:lineRule="auto"/>
        <w:rPr>
          <w:sz w:val="20"/>
          <w:szCs w:val="20"/>
          <w:color w:val="auto"/>
        </w:rPr>
      </w:pPr>
      <w:r>
        <w:rPr>
          <w:rFonts w:ascii="Times New Roman" w:cs="Times New Roman" w:eastAsia="Times New Roman" w:hAnsi="Times New Roman"/>
          <w:sz w:val="18"/>
          <w:szCs w:val="18"/>
          <w:color w:val="auto"/>
        </w:rPr>
        <w:t>We may incur substantial costs in order to comply with current or future environmental, health and safety laws and regulations. These current or future laws and regulations may impair our non-clinical or clinical development or production efforts. Our failure to comply with these laws and regulations also may result in substantial fines, penalties or other sanctions.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Commercialization of Our Product Candidates</w:t>
      </w:r>
    </w:p>
    <w:p>
      <w:pPr>
        <w:spacing w:after="0" w:line="117" w:lineRule="exact"/>
        <w:rPr>
          <w:sz w:val="20"/>
          <w:szCs w:val="20"/>
          <w:color w:val="auto"/>
        </w:rPr>
      </w:pPr>
    </w:p>
    <w:p>
      <w:pPr>
        <w:ind w:right="40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we may fail to achieve the degree of market acceptance by physicians, patients, third-party payers and others in the medical community necessary for commercial success.</w:t>
      </w:r>
    </w:p>
    <w:p>
      <w:pPr>
        <w:spacing w:after="0" w:line="51" w:lineRule="exact"/>
        <w:rPr>
          <w:sz w:val="20"/>
          <w:szCs w:val="20"/>
          <w:color w:val="auto"/>
        </w:rPr>
      </w:pPr>
    </w:p>
    <w:p>
      <w:pPr>
        <w:ind w:firstLine="599"/>
        <w:spacing w:after="0" w:line="281" w:lineRule="auto"/>
        <w:rPr>
          <w:sz w:val="20"/>
          <w:szCs w:val="20"/>
          <w:color w:val="auto"/>
        </w:rPr>
      </w:pPr>
      <w:r>
        <w:rPr>
          <w:rFonts w:ascii="Times New Roman" w:cs="Times New Roman" w:eastAsia="Times New Roman" w:hAnsi="Times New Roman"/>
          <w:sz w:val="17"/>
          <w:szCs w:val="17"/>
          <w:color w:val="auto"/>
        </w:rPr>
        <w:t>If any of our product candidates receives marketing approval, we may nonetheless fail to gain sufficient market acceptance by physicians, patients, third-party payers and others in the medical community. In addition, physicians, patients and third-party payers may prefer other novel products to ours.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164"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and potential advantages and disadvantages compared to alternative treatments;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marketing and distribution support;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including patient cost-sharing programs such as copays and deductibles;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develop or partner with third-party collaborators to develop companion diagnostics;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329" w:lineRule="exact"/>
        <w:rPr>
          <w:sz w:val="20"/>
          <w:szCs w:val="20"/>
          <w:color w:val="auto"/>
        </w:rPr>
      </w:pPr>
    </w:p>
    <w:p>
      <w:pPr>
        <w:jc w:val="both"/>
        <w:ind w:right="20" w:firstLine="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current product candidates, or a future product candidate receives marketing approval and we, or others, later discover that the product is less effective than previously believed or causes undesirable side effects that were not previously identified, the ability to market the product could be compromised.</w:t>
      </w:r>
    </w:p>
    <w:p>
      <w:pPr>
        <w:spacing w:after="0" w:line="67" w:lineRule="exact"/>
        <w:rPr>
          <w:sz w:val="20"/>
          <w:szCs w:val="20"/>
          <w:color w:val="auto"/>
        </w:rPr>
      </w:pPr>
    </w:p>
    <w:p>
      <w:pPr>
        <w:ind w:right="60" w:firstLine="599"/>
        <w:spacing w:after="0" w:line="261" w:lineRule="auto"/>
        <w:rPr>
          <w:sz w:val="20"/>
          <w:szCs w:val="20"/>
          <w:color w:val="auto"/>
        </w:rPr>
      </w:pPr>
      <w:r>
        <w:rPr>
          <w:rFonts w:ascii="Times New Roman" w:cs="Times New Roman" w:eastAsia="Times New Roman" w:hAnsi="Times New Roman"/>
          <w:sz w:val="18"/>
          <w:szCs w:val="18"/>
          <w:color w:val="auto"/>
        </w:rPr>
        <w:t>Clinical trials are conducted in carefully defined subsets of patients who have agreed to enter into clinical trials. Consequently, it is possible that our clinical trials may indicate an apparent beneficial effect of a product candidate that is greater than the actual positive effect in a broader patient population or alternatively fail to identify undesirable side effects. If, following approval of a product candidate, we, or others, discover that the product is less effective than previously believed or causes undesirable side effects that were not previously identified, any of the following events could occur:</w:t>
      </w:r>
    </w:p>
    <w:p>
      <w:pPr>
        <w:spacing w:after="0" w:line="72"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 required to be recalled or changes may be required to the way the product is administered;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product;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a Medication Guide outlining the risks of the previously unidentified side effects for distribution to patients;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distribution or use of the product via a Risk Evaluation and Mitigation Strategy;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right="60" w:firstLine="599"/>
        <w:spacing w:after="0" w:line="282" w:lineRule="auto"/>
        <w:rPr>
          <w:sz w:val="20"/>
          <w:szCs w:val="20"/>
          <w:color w:val="auto"/>
        </w:rPr>
      </w:pPr>
      <w:r>
        <w:rPr>
          <w:rFonts w:ascii="Times New Roman" w:cs="Times New Roman" w:eastAsia="Times New Roman" w:hAnsi="Times New Roman"/>
          <w:sz w:val="18"/>
          <w:szCs w:val="18"/>
          <w:color w:val="auto"/>
        </w:rPr>
        <w:t>Any of these events could have a material and adverse effect on our operations and business. The commercial prospects for our product candidates may be harmed and our ability to generate revenues will be materially impaired.</w:t>
      </w:r>
    </w:p>
    <w:p>
      <w:pPr>
        <w:spacing w:after="0" w:line="266" w:lineRule="exact"/>
        <w:rPr>
          <w:sz w:val="20"/>
          <w:szCs w:val="20"/>
          <w:color w:val="auto"/>
        </w:rPr>
      </w:pPr>
    </w:p>
    <w:p>
      <w:pPr>
        <w:ind w:right="300" w:firstLine="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force. If we are unable to establish effective marketing and sales capabilities or enter into agreements with third parties to market and sell our product candidates, we may not be able to effectively market and sell our product candidates, if approved, or generate product revenues.</w:t>
      </w:r>
    </w:p>
    <w:p>
      <w:pPr>
        <w:spacing w:after="0" w:line="67" w:lineRule="exact"/>
        <w:rPr>
          <w:sz w:val="20"/>
          <w:szCs w:val="20"/>
          <w:color w:val="auto"/>
        </w:rPr>
      </w:pPr>
    </w:p>
    <w:p>
      <w:pPr>
        <w:ind w:firstLine="599"/>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intend to establish an internal sales and marketing team with technical expertise and supporting distribution capabilities to commercialize our product candidates, which will be expensive and time-consuming, will require significant attention of our executive officers to manage and may nonetheless fail to effectively market and sell our product candidates. Any failure or delay in the development of our internal sales, marketing and distribution capabilities would adversely impact the commercialization of any of our products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1" w:lineRule="exact"/>
        <w:rPr>
          <w:sz w:val="20"/>
          <w:szCs w:val="20"/>
          <w:color w:val="auto"/>
        </w:rPr>
      </w:pPr>
    </w:p>
    <w:p>
      <w:pPr>
        <w:ind w:right="28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51" w:lineRule="exact"/>
        <w:rPr>
          <w:sz w:val="20"/>
          <w:szCs w:val="20"/>
          <w:color w:val="auto"/>
        </w:rPr>
      </w:pPr>
    </w:p>
    <w:p>
      <w:pPr>
        <w:ind w:right="40" w:firstLine="59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several large pharmaceutical and biotechnology companies that currently market and sell products or are pursuing the development of products for the treatment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2" w:lineRule="exact"/>
        <w:rPr>
          <w:sz w:val="20"/>
          <w:szCs w:val="20"/>
          <w:color w:val="auto"/>
        </w:rPr>
      </w:pPr>
    </w:p>
    <w:p>
      <w:pPr>
        <w:ind w:right="260" w:firstLine="599"/>
        <w:spacing w:after="0" w:line="261" w:lineRule="auto"/>
        <w:rPr>
          <w:sz w:val="20"/>
          <w:szCs w:val="20"/>
          <w:color w:val="auto"/>
        </w:rPr>
      </w:pPr>
      <w:r>
        <w:rPr>
          <w:rFonts w:ascii="Times New Roman" w:cs="Times New Roman" w:eastAsia="Times New Roman" w:hAnsi="Times New Roman"/>
          <w:sz w:val="18"/>
          <w:szCs w:val="18"/>
          <w:color w:val="auto"/>
        </w:rPr>
        <w:t>Specifically, there are a number of companies developing competing anti-CD40 and anti-CD40L therapeutics in clinical trials for transplant, autoimmune or central nervous system indications, including: Novartis, Sanofi, UCB, Amgen (post-acquisition of Horizon Therapeutics), Bristol Myers Squibb, Tonix Pharmaceuticals, Veloxis Pharmaceuticals and Kiniksa Pharmaceuticals. Most of these companies are larger than Eledon and have significantly greater resources to develop their drug candidates.</w:t>
      </w:r>
    </w:p>
    <w:p>
      <w:pPr>
        <w:spacing w:after="0" w:line="180" w:lineRule="exact"/>
        <w:rPr>
          <w:sz w:val="20"/>
          <w:szCs w:val="20"/>
          <w:color w:val="auto"/>
        </w:rPr>
      </w:pPr>
    </w:p>
    <w:p>
      <w:pPr>
        <w:ind w:firstLine="599"/>
        <w:spacing w:after="0" w:line="251" w:lineRule="auto"/>
        <w:rPr>
          <w:sz w:val="20"/>
          <w:szCs w:val="20"/>
          <w:color w:val="auto"/>
        </w:rPr>
      </w:pPr>
      <w:r>
        <w:rPr>
          <w:rFonts w:ascii="Times New Roman" w:cs="Times New Roman" w:eastAsia="Times New Roman" w:hAnsi="Times New Roman"/>
          <w:sz w:val="18"/>
          <w:szCs w:val="18"/>
          <w:color w:val="auto"/>
        </w:rPr>
        <w:t>If approved, we expect that tegoprubart will face competition from numerous FDA-approved therapeutics for the prevention of transplant rejection, including PROGRAF</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ASTAGRAF XL</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ENVARSUS XR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NULOJIX</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CELLCEPT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MYFORTIC</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and numerous other branded and generic immunosuppressive agents. Multiple companies are working on islet cell and kidney transplant solutions that may ultimately potentially negate the need for immunosuppressive agents in these indications altogether.</w:t>
      </w:r>
    </w:p>
    <w:p>
      <w:pPr>
        <w:spacing w:after="0" w:line="190" w:lineRule="exact"/>
        <w:rPr>
          <w:sz w:val="20"/>
          <w:szCs w:val="20"/>
          <w:color w:val="auto"/>
        </w:rPr>
      </w:pPr>
    </w:p>
    <w:p>
      <w:pPr>
        <w:ind w:right="100" w:firstLine="599"/>
        <w:spacing w:after="0" w:line="258" w:lineRule="auto"/>
        <w:rPr>
          <w:sz w:val="20"/>
          <w:szCs w:val="20"/>
          <w:color w:val="auto"/>
        </w:rPr>
      </w:pPr>
      <w:r>
        <w:rPr>
          <w:rFonts w:ascii="Times New Roman" w:cs="Times New Roman" w:eastAsia="Times New Roman" w:hAnsi="Times New Roman"/>
          <w:sz w:val="18"/>
          <w:szCs w:val="18"/>
          <w:color w:val="auto"/>
        </w:rPr>
        <w:t>We expect that tegoprubart will face competition from FDA-approved therapeutics for the treatment of ALS including RADICAVA®, riluzole, and numerous other branded and generic immunosuppressive agents. Multiple pharmaceutical and biotechnology companies, including but not limited to Biogen, Ionis Pharmaceuticals, Alexion Pharmaceuticals, Orion Pharma, Orphazyme, AZTherapies, Voyager Therapeutics, Apic Bio, Brainstorm Cell Therapeutics, Argenx, Ionis Pharmaceuticals, Coya Therapeutics and Cytokinetics, are also working on competing ALS pharmaceutical, gene therapy and cell therapy approaches.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60" w:firstLine="599"/>
        <w:spacing w:after="0" w:line="26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third-party payers seeking to encourage the use of generic products.</w:t>
      </w:r>
    </w:p>
    <w:p>
      <w:pPr>
        <w:spacing w:after="0" w:line="176" w:lineRule="exact"/>
        <w:rPr>
          <w:sz w:val="20"/>
          <w:szCs w:val="20"/>
          <w:color w:val="auto"/>
        </w:rPr>
      </w:pPr>
    </w:p>
    <w:p>
      <w:pPr>
        <w:ind w:right="40" w:firstLine="599"/>
        <w:spacing w:after="0" w:line="266" w:lineRule="auto"/>
        <w:rPr>
          <w:sz w:val="20"/>
          <w:szCs w:val="20"/>
          <w:color w:val="auto"/>
        </w:rPr>
      </w:pPr>
      <w:r>
        <w:rPr>
          <w:rFonts w:ascii="Times New Roman" w:cs="Times New Roman" w:eastAsia="Times New Roman" w:hAnsi="Times New Roman"/>
          <w:sz w:val="18"/>
          <w:szCs w:val="18"/>
          <w:color w:val="auto"/>
        </w:rPr>
        <w:t>Generic products are currently available, with additional generic products expected to become available over the coming years, potentially creating pricing pressure. If our product candidates achieve marketing approval, we expect that they will be priced at a significant premium over competitive generic products.</w:t>
      </w:r>
    </w:p>
    <w:p>
      <w:pPr>
        <w:spacing w:after="0" w:line="176" w:lineRule="exact"/>
        <w:rPr>
          <w:sz w:val="20"/>
          <w:szCs w:val="20"/>
          <w:color w:val="auto"/>
        </w:rPr>
      </w:pPr>
    </w:p>
    <w:p>
      <w:pPr>
        <w:ind w:right="160" w:firstLine="59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conducting non-clinical studies,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3" w:lineRule="exact"/>
        <w:rPr>
          <w:sz w:val="20"/>
          <w:szCs w:val="20"/>
          <w:color w:val="auto"/>
        </w:rPr>
      </w:pPr>
    </w:p>
    <w:p>
      <w:pPr>
        <w:ind w:right="200" w:firstLine="5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28" w:lineRule="exact"/>
        <w:rPr>
          <w:sz w:val="20"/>
          <w:szCs w:val="20"/>
          <w:color w:val="auto"/>
        </w:rPr>
      </w:pPr>
    </w:p>
    <w:p>
      <w:pPr>
        <w:ind w:firstLine="599"/>
        <w:spacing w:after="0" w:line="256" w:lineRule="auto"/>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payers is essential for most patients to be able to afford expensive treatments. Sales of our product candidates will depend substantially, both domestically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7" w:lineRule="exact"/>
        <w:rPr>
          <w:sz w:val="20"/>
          <w:szCs w:val="20"/>
          <w:color w:val="auto"/>
        </w:rPr>
      </w:pPr>
    </w:p>
    <w:p>
      <w:pPr>
        <w:ind w:right="40" w:firstLine="599"/>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reimbursement for new medicines are typically made by CMS, as CMS decides whether and to what extent a new medicine will be covered and reimbursed under Medicare. Private payers tend to follow CMS to a substantial degree. It is difficult to predict what CMS will decide with respect to reimbursement for fundamentally novel products such as ours, as there is no body of established practices and precedents for these new products. Reimbursement agencies in Europe may be more conservative than CMS. 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90" w:lineRule="exact"/>
        <w:rPr>
          <w:sz w:val="20"/>
          <w:szCs w:val="20"/>
          <w:color w:val="auto"/>
        </w:rPr>
      </w:pPr>
    </w:p>
    <w:p>
      <w:pPr>
        <w:ind w:right="20" w:firstLine="599"/>
        <w:spacing w:after="0" w:line="25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payers, in the United States and internationally, to cap or reduce healthcare costs may cause such organizations to limit both coverage and level of reimbursement for new products approved and, as a result, they may not cover or provide adequate payment for our product candidates. Increased expense is incurred to cover costs of health outcome focused research used to generate data necessary to justify the value of our products in order to secure reimbursement.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599"/>
        <w:spacing w:after="0" w:line="266" w:lineRule="auto"/>
        <w:rPr>
          <w:sz w:val="20"/>
          <w:szCs w:val="20"/>
          <w:color w:val="auto"/>
        </w:rPr>
      </w:pPr>
      <w:r>
        <w:rPr>
          <w:rFonts w:ascii="Times New Roman" w:cs="Times New Roman" w:eastAsia="Times New Roman" w:hAnsi="Times New Roman"/>
          <w:sz w:val="18"/>
          <w:szCs w:val="18"/>
          <w:color w:val="auto"/>
        </w:rPr>
        <w:t>In addition, many private payers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280" w:lineRule="exact"/>
        <w:rPr>
          <w:sz w:val="20"/>
          <w:szCs w:val="20"/>
          <w:color w:val="auto"/>
        </w:rPr>
      </w:pPr>
    </w:p>
    <w:p>
      <w:pPr>
        <w:ind w:right="22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51" w:lineRule="exact"/>
        <w:rPr>
          <w:sz w:val="20"/>
          <w:szCs w:val="20"/>
          <w:color w:val="auto"/>
        </w:rPr>
      </w:pPr>
    </w:p>
    <w:p>
      <w:pPr>
        <w:ind w:firstLine="599"/>
        <w:spacing w:after="0" w:line="25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commercially sell any products that we may develop. If we cannot successfully defend against claims that our product candidates or products caused injuries, we will incur substantial liabilities. Regardless of merit or eventual outcome, liability claims may result in decreased demand for any product candidates or products that we may develop; injury to our reputation and significant negative media attention; withdrawal of clinical trial participants; significant costs to defend the related litigation; substantial monetary awards to trial participants or patients; loss of revenue; reduced resources of our management to pursue our business strategy; and the inability to commercialize any products that we may develop.</w:t>
      </w:r>
    </w:p>
    <w:p>
      <w:pPr>
        <w:spacing w:after="0" w:line="187" w:lineRule="exact"/>
        <w:rPr>
          <w:sz w:val="20"/>
          <w:szCs w:val="20"/>
          <w:color w:val="auto"/>
        </w:rPr>
      </w:pPr>
    </w:p>
    <w:p>
      <w:pPr>
        <w:ind w:right="120" w:firstLine="599"/>
        <w:spacing w:after="0" w:line="261" w:lineRule="auto"/>
        <w:rPr>
          <w:sz w:val="20"/>
          <w:szCs w:val="20"/>
          <w:color w:val="auto"/>
        </w:rPr>
      </w:pPr>
      <w:r>
        <w:rPr>
          <w:rFonts w:ascii="Times New Roman" w:cs="Times New Roman" w:eastAsia="Times New Roman" w:hAnsi="Times New Roman"/>
          <w:sz w:val="18"/>
          <w:szCs w:val="18"/>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Dependence on Third Parties</w:t>
      </w:r>
    </w:p>
    <w:p>
      <w:pPr>
        <w:spacing w:after="0" w:line="117" w:lineRule="exact"/>
        <w:rPr>
          <w:sz w:val="20"/>
          <w:szCs w:val="20"/>
          <w:color w:val="auto"/>
        </w:rPr>
      </w:pPr>
    </w:p>
    <w:p>
      <w:pPr>
        <w:jc w:val="both"/>
        <w:ind w:right="40" w:firstLine="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non-clinical and clinical trials and expect to continue to do so for commercialization. This reliance on third parties increases the risk that we will not have sufficient quantities of our product candidates or products at an acceptable cost and quality, which could delay, prevent or impair our development or commercialization efforts.</w:t>
      </w:r>
    </w:p>
    <w:p>
      <w:pPr>
        <w:spacing w:after="0" w:line="67" w:lineRule="exact"/>
        <w:rPr>
          <w:sz w:val="20"/>
          <w:szCs w:val="20"/>
          <w:color w:val="auto"/>
        </w:rPr>
      </w:pPr>
    </w:p>
    <w:p>
      <w:pPr>
        <w:ind w:right="20" w:firstLine="599"/>
        <w:spacing w:after="0" w:line="253" w:lineRule="auto"/>
        <w:rPr>
          <w:sz w:val="20"/>
          <w:szCs w:val="20"/>
          <w:color w:val="auto"/>
        </w:rPr>
      </w:pPr>
      <w:r>
        <w:rPr>
          <w:rFonts w:ascii="Times New Roman" w:cs="Times New Roman" w:eastAsia="Times New Roman" w:hAnsi="Times New Roman"/>
          <w:sz w:val="18"/>
          <w:szCs w:val="18"/>
          <w:color w:val="auto"/>
        </w:rPr>
        <w:t>We have utilized, and intend to continue utilizing, third parties to formulate, manufacture, package, and distribute clinical supplies of our drug candidates. We have no experience in manufacturing and do not have any manufacturing facilities. Currently, we rely on third parties for the manufacturing of drug substance and drug product for non-clinical and clinical activities. Our manufacturing vendors utilize proprietary cell culture media, cell lines, buffers, manufacturing equipment, manufacturing supplies, and storage buffers for the manufacturing of tegoprubart and other product candidates. These materials are custom-made and available from only a limited number of sources. Although we believe that our third-party suppliers maintain a significant supply of these materials and equipment on hand, any sustained disruption in this supply, could adversely affect our operations. We do not have any long-term agreements in place with our current suppliers. If we are required to change manufacturers, we may experience delays associated with finding an alternate manufacturer that is properly qualified to produce supplies of our products and product candidates in accordance with regulatory requirements and our specifications. Any delays or difficulties in obtaining or in manufacturing, packaging or distributing approved product candidates could negatively impact our clinical trials.</w:t>
      </w:r>
    </w:p>
    <w:p>
      <w:pPr>
        <w:spacing w:after="0" w:line="194" w:lineRule="exact"/>
        <w:rPr>
          <w:sz w:val="20"/>
          <w:szCs w:val="20"/>
          <w:color w:val="auto"/>
        </w:rPr>
      </w:pPr>
    </w:p>
    <w:p>
      <w:pPr>
        <w:ind w:right="20" w:firstLine="599"/>
        <w:spacing w:after="0" w:line="252" w:lineRule="auto"/>
        <w:rPr>
          <w:sz w:val="20"/>
          <w:szCs w:val="20"/>
          <w:color w:val="auto"/>
        </w:rPr>
      </w:pPr>
      <w:r>
        <w:rPr>
          <w:rFonts w:ascii="Times New Roman" w:cs="Times New Roman" w:eastAsia="Times New Roman" w:hAnsi="Times New Roman"/>
          <w:sz w:val="18"/>
          <w:szCs w:val="18"/>
          <w:color w:val="auto"/>
        </w:rPr>
        <w:t>We expect to rely on third-party manufacturers or third-party collaborators for the manufacture of commercial supply of any other product candidates for which our collaborators or we obtain marketing approval. Despite drug substance and product risk management, this reliance on third parties presents a risk that we will not have sufficient quantities of our product candidates or products or such quantities at an acceptable cost or quality, which could delay, prevent or impair our development or commercialization efforts. For example, these third parties experienced disruptions in their operations in conjunction with the COVID-19 pandemic. Additionally, on April 16, 2025, the U.S. Department of Commerce announced an investigation under Section 232 of the Trade Expansion Act of 1962 into imports of pharmaceuticals and pharmaceutical ingredients, including finished drug products, medical countermeasures, critical inputs such as active pharmaceutical ingredients, and key starting materials, and derivative products of those items. The investigation will examine the impact of these imports on U.S. national security culminating in a decision by the President whether to take action to remedy any identified threats, including by imposing additional tariffs. Further, the U.S. government has proposed a 100% tariff on branded and patented pharmaceutical products. All of these current and threatened tariffs are subject to implementation or change with little notice. Any delay, performance failure, or increase in costs on the part of our existing or future manufacturers of drug substance or drug products could delay or increase the cost of our clinical development or marketing approval. We do not currently have arrangements in place for redundant supply. If suppliers cannot supply us with our requirements, we may be required to identify alternative manufacturers, which would lead us to incur added costs and delays in identifying and qualifying any such replacement.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180" w:firstLine="599"/>
        <w:spacing w:after="0" w:line="266" w:lineRule="auto"/>
        <w:rPr>
          <w:sz w:val="20"/>
          <w:szCs w:val="20"/>
          <w:color w:val="auto"/>
        </w:rPr>
      </w:pPr>
      <w:r>
        <w:rPr>
          <w:rFonts w:ascii="Times New Roman" w:cs="Times New Roman" w:eastAsia="Times New Roman" w:hAnsi="Times New Roman"/>
          <w:sz w:val="18"/>
          <w:szCs w:val="18"/>
          <w:color w:val="auto"/>
        </w:rPr>
        <w:t>Formulations and devices used in early studies are not final formulations and devices for commercialization. Additional changes may be required by the FDA or other regulatory authorities on specifications and storage conditions. These may require additional studies and may result in a delay in our clinical trials and commercialization activities.</w:t>
      </w:r>
    </w:p>
    <w:p>
      <w:pPr>
        <w:spacing w:after="0" w:line="176" w:lineRule="exact"/>
        <w:rPr>
          <w:sz w:val="20"/>
          <w:szCs w:val="20"/>
          <w:color w:val="auto"/>
        </w:rPr>
      </w:pPr>
    </w:p>
    <w:p>
      <w:pPr>
        <w:ind w:right="180" w:firstLine="59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label,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76" w:lineRule="exact"/>
        <w:rPr>
          <w:sz w:val="20"/>
          <w:szCs w:val="20"/>
          <w:color w:val="auto"/>
        </w:rPr>
      </w:pPr>
    </w:p>
    <w:p>
      <w:pPr>
        <w:ind w:right="380" w:firstLine="599"/>
        <w:spacing w:after="0" w:line="282"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54"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120" w:firstLine="599"/>
        <w:spacing w:after="0" w:line="254" w:lineRule="auto"/>
        <w:rPr>
          <w:sz w:val="20"/>
          <w:szCs w:val="20"/>
          <w:color w:val="auto"/>
        </w:rPr>
      </w:pPr>
      <w:r>
        <w:rPr>
          <w:rFonts w:ascii="Times New Roman" w:cs="Times New Roman" w:eastAsia="Times New Roman" w:hAnsi="Times New Roman"/>
          <w:sz w:val="18"/>
          <w:szCs w:val="18"/>
          <w:color w:val="auto"/>
        </w:rPr>
        <w:t>The third parties we rely on for manufacturing and packaging are also subject to regulatory review, and any regulatory compliance problems with these third parties could significantly delay or disrupt our clinical or commercialization activities. 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Additionally, macro-economic conditions may adversely affect these third parties, causing them to suffer liquidity or operational problems. If a key third-party vendor becomes insolvent or is forced to lay off workers assisting with our projects, our results and development timing could suffer.</w:t>
      </w:r>
    </w:p>
    <w:p>
      <w:pPr>
        <w:spacing w:after="0" w:line="192" w:lineRule="exact"/>
        <w:rPr>
          <w:sz w:val="20"/>
          <w:szCs w:val="20"/>
          <w:color w:val="auto"/>
        </w:rPr>
      </w:pPr>
    </w:p>
    <w:p>
      <w:pPr>
        <w:ind w:right="60" w:firstLine="599"/>
        <w:spacing w:after="0" w:line="266"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76" w:lineRule="exact"/>
        <w:rPr>
          <w:sz w:val="20"/>
          <w:szCs w:val="20"/>
          <w:color w:val="auto"/>
        </w:rPr>
      </w:pPr>
    </w:p>
    <w:p>
      <w:pPr>
        <w:ind w:right="380" w:firstLine="59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66" w:lineRule="exact"/>
        <w:rPr>
          <w:sz w:val="20"/>
          <w:szCs w:val="20"/>
          <w:color w:val="auto"/>
        </w:rPr>
      </w:pPr>
    </w:p>
    <w:p>
      <w:pPr>
        <w:ind w:right="2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CROs and other contracted third parties to perform non-clinical and clinical testing and certain other research and development activities. As a result, the outcomes of the activities performed by these organizations will be, to a certain extent, beyond our control.</w:t>
      </w:r>
    </w:p>
    <w:p>
      <w:pPr>
        <w:spacing w:after="0" w:line="51"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auto"/>
        </w:rPr>
        <w:t>The nature of outsourcing a substantial portion of our business will require that we rely on CROs and other contractors to assist us with research and development, clinical testing activities, patient enrollment, data collection, and regulatory submissions to the FDA or other regulatory bodies. As a result, our success will depend partially on the success of these third parties in performing their responsibilities. Although we intend to pre-qualify our CROs and other contractors and we believe that the contractors selected will be fully capable of performing their contractual obligations, we cannot directly control the adequacy and timeliness of the resources and expertise that they apply to these activities. Additionally, macro-economic conditions may affect our development partners and vendors, which could adversely affect their ability to timely perform their tasks. If our contractors do not perform their obligations in an adequate and timely manner, the pace of clinical development, regulatory approval and commercialization of our drug candidates could be significantly delayed, and our prospects could be adversely affected.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w:t>
      </w:r>
    </w:p>
    <w:p>
      <w:pPr>
        <w:spacing w:after="0" w:line="117" w:lineRule="exact"/>
        <w:rPr>
          <w:sz w:val="20"/>
          <w:szCs w:val="20"/>
          <w:color w:val="auto"/>
        </w:rPr>
      </w:pPr>
    </w:p>
    <w:p>
      <w:pPr>
        <w:ind w:right="80" w:firstLine="5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intellectual property protection for our technology and products or if the scope of the intellectual property protection obtained is not sufficiently broad, our competitors could develop and commercialize technology and products similar or identical to ours, and our ability to successfully commercialize our technology and products may be impaired.</w:t>
      </w:r>
    </w:p>
    <w:p>
      <w:pPr>
        <w:spacing w:after="0" w:line="67" w:lineRule="exact"/>
        <w:rPr>
          <w:sz w:val="20"/>
          <w:szCs w:val="20"/>
          <w:color w:val="auto"/>
        </w:rPr>
      </w:pPr>
    </w:p>
    <w:p>
      <w:pPr>
        <w:ind w:right="60" w:firstLine="599"/>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relevant countries with respect to our proprietary technology and products. We seek to protect our proprietary position by filing patent applications in the United States and internationally that are related to our novel technologies and product candidates. This patent portfolio includes issued patents and pending patent applications covering pharmaceutical compositions and methods of use.</w:t>
      </w:r>
    </w:p>
    <w:p>
      <w:pPr>
        <w:spacing w:after="0" w:line="180" w:lineRule="exact"/>
        <w:rPr>
          <w:sz w:val="20"/>
          <w:szCs w:val="20"/>
          <w:color w:val="auto"/>
        </w:rPr>
      </w:pPr>
    </w:p>
    <w:p>
      <w:pPr>
        <w:ind w:right="120" w:firstLine="599"/>
        <w:spacing w:after="0" w:line="255"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or in a timely manner. We may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we will fail to identify patentable aspects of our discovery and non-clinical development output before it is too late to obtain patent protection. Moreover, in some circumstances, we may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89" w:lineRule="exact"/>
        <w:rPr>
          <w:sz w:val="20"/>
          <w:szCs w:val="20"/>
          <w:color w:val="auto"/>
        </w:rPr>
      </w:pPr>
    </w:p>
    <w:p>
      <w:pPr>
        <w:ind w:right="60" w:firstLine="599"/>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For example, India and China do not allow patents for methods of treating the human body.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EU, the United States and other countries may diminish the value of our patents or narrow the scope of our patent protection.</w:t>
      </w:r>
    </w:p>
    <w:p>
      <w:pPr>
        <w:spacing w:after="0" w:line="194" w:lineRule="exact"/>
        <w:rPr>
          <w:sz w:val="20"/>
          <w:szCs w:val="20"/>
          <w:color w:val="auto"/>
        </w:rPr>
      </w:pPr>
    </w:p>
    <w:p>
      <w:pPr>
        <w:ind w:right="120" w:firstLine="599"/>
        <w:spacing w:after="0" w:line="258" w:lineRule="auto"/>
        <w:rPr>
          <w:sz w:val="20"/>
          <w:szCs w:val="20"/>
          <w:color w:val="auto"/>
        </w:rPr>
      </w:pPr>
      <w:r>
        <w:rPr>
          <w:rFonts w:ascii="Times New Roman" w:cs="Times New Roman" w:eastAsia="Times New Roman" w:hAnsi="Times New Roman"/>
          <w:sz w:val="18"/>
          <w:szCs w:val="18"/>
          <w:color w:val="auto"/>
        </w:rPr>
        <w:t>The risks described pertaining to our patents and other intellectual property rights also apply to the intellectual property rights that we license, and any failure to obtain, maintain and enforce these rights could have a material adverse effect on our business. In some cases, we may not have control over the prosecution, maintenance or enforcement of the patents that we license, and our licensors may fail to take the steps that we believe are necessary or desirable in order to obtain, maintain and enforce the licensed patents. Any inability on our part to protect adequately our intellectual property may have a material adverse effect on our business, operating results and financial position.</w:t>
      </w:r>
    </w:p>
    <w:p>
      <w:pPr>
        <w:spacing w:after="0" w:line="183" w:lineRule="exact"/>
        <w:rPr>
          <w:sz w:val="20"/>
          <w:szCs w:val="20"/>
          <w:color w:val="auto"/>
        </w:rPr>
      </w:pPr>
    </w:p>
    <w:p>
      <w:pPr>
        <w:ind w:right="20" w:firstLine="599"/>
        <w:spacing w:after="0" w:line="261" w:lineRule="auto"/>
        <w:rPr>
          <w:sz w:val="20"/>
          <w:szCs w:val="20"/>
          <w:color w:val="auto"/>
        </w:rPr>
      </w:pPr>
      <w:r>
        <w:rPr>
          <w:rFonts w:ascii="Times New Roman" w:cs="Times New Roman" w:eastAsia="Times New Roman" w:hAnsi="Times New Roman"/>
          <w:sz w:val="18"/>
          <w:szCs w:val="18"/>
          <w:color w:val="auto"/>
        </w:rPr>
        <w:t>The United States Patent and Trademark Office (“USPTO”) and various non-U.S. governmental patent agencies require compliance with several procedural, documentary, fee payment and other similar provisions during the patent application process. In certain situations,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80" w:lineRule="exact"/>
        <w:rPr>
          <w:sz w:val="20"/>
          <w:szCs w:val="20"/>
          <w:color w:val="auto"/>
        </w:rPr>
      </w:pPr>
    </w:p>
    <w:p>
      <w:pPr>
        <w:ind w:firstLine="599"/>
        <w:spacing w:after="0" w:line="254" w:lineRule="auto"/>
        <w:rPr>
          <w:sz w:val="20"/>
          <w:szCs w:val="20"/>
          <w:color w:val="auto"/>
        </w:rPr>
      </w:pPr>
      <w:r>
        <w:rPr>
          <w:rFonts w:ascii="Times New Roman" w:cs="Times New Roman" w:eastAsia="Times New Roman" w:hAnsi="Times New Roman"/>
          <w:sz w:val="18"/>
          <w:szCs w:val="18"/>
          <w:color w:val="auto"/>
        </w:rPr>
        <w:t>In addition, we have acquired rights to tegoprubart and other product candidates through a license agreement with The ALS Therapy Development Institute and a manufacturing know-how rights license agreement with Lonza Sales AG, Inc. for the use of certain processes and know-how related to the manufacture of tegoprubart, and may in the future enter into other license agreements with third parties for other intellectual property rights or assets. These license agreements may impose various diligence,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drug candidates than if we had developed the licensed technology internally.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80" w:firstLine="599"/>
        <w:spacing w:after="0" w:line="255" w:lineRule="auto"/>
        <w:rPr>
          <w:sz w:val="20"/>
          <w:szCs w:val="20"/>
          <w:color w:val="auto"/>
        </w:rPr>
      </w:pPr>
      <w:r>
        <w:rPr>
          <w:rFonts w:ascii="Times New Roman" w:cs="Times New Roman" w:eastAsia="Times New Roman" w:hAnsi="Times New Roman"/>
          <w:sz w:val="18"/>
          <w:szCs w:val="18"/>
          <w:color w:val="auto"/>
        </w:rPr>
        <w:t>In some cases, patent prosecution of our licensed technology may be controlled solely by the licensor.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In certain cases, we may control the prosecution of patents resulting from licensed technology. In the event we breach any of our obligations related to such prosecution, we may incur significant liability to our licensing partners. If disputes over intellectual property and other rights that we have licensed prevent or impair our ability to maintain our current licensing arrangements on acceptable terms, we may be unable to successfully develop and commercialize the affected product candidates.</w:t>
      </w:r>
    </w:p>
    <w:p>
      <w:pPr>
        <w:spacing w:after="0" w:line="293" w:lineRule="exact"/>
        <w:rPr>
          <w:sz w:val="20"/>
          <w:szCs w:val="20"/>
          <w:color w:val="auto"/>
        </w:rPr>
      </w:pPr>
    </w:p>
    <w:p>
      <w:pPr>
        <w:ind w:right="4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51" w:lineRule="exact"/>
        <w:rPr>
          <w:sz w:val="20"/>
          <w:szCs w:val="20"/>
          <w:color w:val="auto"/>
        </w:rPr>
      </w:pPr>
    </w:p>
    <w:p>
      <w:pPr>
        <w:ind w:right="380" w:firstLine="599"/>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threatened with, future adversarial proceedings or 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w:t>
      </w:r>
    </w:p>
    <w:p>
      <w:pPr>
        <w:spacing w:after="0" w:line="183" w:lineRule="exact"/>
        <w:rPr>
          <w:sz w:val="20"/>
          <w:szCs w:val="20"/>
          <w:color w:val="auto"/>
        </w:rPr>
      </w:pPr>
    </w:p>
    <w:p>
      <w:pPr>
        <w:ind w:firstLine="599"/>
        <w:spacing w:after="0" w:line="255"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89" w:lineRule="exact"/>
        <w:rPr>
          <w:sz w:val="20"/>
          <w:szCs w:val="20"/>
          <w:color w:val="auto"/>
        </w:rPr>
      </w:pPr>
    </w:p>
    <w:p>
      <w:pPr>
        <w:ind w:right="100" w:firstLine="599"/>
        <w:spacing w:after="0" w:line="253" w:lineRule="auto"/>
        <w:rPr>
          <w:sz w:val="20"/>
          <w:szCs w:val="20"/>
          <w:color w:val="auto"/>
        </w:rPr>
      </w:pPr>
      <w:r>
        <w:rPr>
          <w:rFonts w:ascii="Times New Roman" w:cs="Times New Roman" w:eastAsia="Times New Roman" w:hAnsi="Times New Roman"/>
          <w:sz w:val="18"/>
          <w:szCs w:val="18"/>
          <w:color w:val="auto"/>
        </w:rPr>
        <w:t>Because competition in our industry is intense, competitors may infringe or otherwise violate our issued patents, patents of our licensors or other intellectual property. To counter infringement or unauthorized use, we may be required to file infringement claims, which can be expensive and time-consuming.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We may also elect to enter into license agreements in order to settle patent infringement claims or to resolve disputes prior to litigation, and any such license agreements may require us to pay royalties and other fees that could be significant. Furthermore, because of the substantial amount of discovery required in connection with intellectual property litigation, there is a risk that some of our confidential information could be compromised by disclosure.</w:t>
      </w:r>
    </w:p>
    <w:p>
      <w:pPr>
        <w:spacing w:after="0" w:line="298" w:lineRule="exact"/>
        <w:rPr>
          <w:sz w:val="20"/>
          <w:szCs w:val="20"/>
          <w:color w:val="auto"/>
        </w:rPr>
      </w:pPr>
    </w:p>
    <w:p>
      <w:pPr>
        <w:ind w:right="460"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51" w:lineRule="exact"/>
        <w:rPr>
          <w:sz w:val="20"/>
          <w:szCs w:val="20"/>
          <w:color w:val="auto"/>
        </w:rPr>
      </w:pPr>
    </w:p>
    <w:p>
      <w:pPr>
        <w:ind w:right="80" w:firstLine="599"/>
        <w:spacing w:after="0" w:line="261"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 If we were not able to obtain a license or are not able to obtain a license on commercially reasonable terms, our business could be harmed, possibly materially.</w:t>
      </w:r>
    </w:p>
    <w:p>
      <w:pPr>
        <w:spacing w:after="0" w:line="2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100" w:firstLine="599"/>
        <w:spacing w:after="0" w:line="261"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Any NDAs or similar agreements entered into by the Company may not be with all relevant parties, or adequately protect the confidentiality of our trade secrets. Moreover, to the extent we enter into such agreements, any of these parties may breach the agreements and disclose our proprietary information, including our trade secrets, and we may not be able to obtain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them, from using that technology or information to compete with us. If any of our trade secrets were to be disclosed to or independently developed by a competitor, our competitive position would be harmed.</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of misappropriation of trade secrets from former employers of Company personnel.</w:t>
      </w:r>
    </w:p>
    <w:p>
      <w:pPr>
        <w:spacing w:after="0" w:line="121" w:lineRule="exact"/>
        <w:rPr>
          <w:sz w:val="20"/>
          <w:szCs w:val="20"/>
          <w:color w:val="auto"/>
        </w:rPr>
      </w:pPr>
    </w:p>
    <w:p>
      <w:pPr>
        <w:ind w:right="100" w:firstLine="599"/>
        <w:spacing w:after="0" w:line="256" w:lineRule="auto"/>
        <w:rPr>
          <w:sz w:val="20"/>
          <w:szCs w:val="20"/>
          <w:color w:val="auto"/>
        </w:rPr>
      </w:pPr>
      <w:r>
        <w:rPr>
          <w:rFonts w:ascii="Times New Roman" w:cs="Times New Roman" w:eastAsia="Times New Roman" w:hAnsi="Times New Roman"/>
          <w:sz w:val="18"/>
          <w:szCs w:val="18"/>
          <w:color w:val="auto"/>
        </w:rPr>
        <w:t>Many of our employees and certain of our directors were previously employed at or affiliated with research foundations or other biotechnology or pharmaceutical companies. Although we try to ensure that our employees and directors do not use the proprietary information or know-how of others in their work for us, we may be subject to claims that we or these employees or directors have used or disclosed intellectual property, including trade secrets or other proprietary information, of any such employee’s or director’s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expect our stock price to be volatile, and the market price of our common stock may drop unexpectedly.</w:t>
      </w:r>
    </w:p>
    <w:p>
      <w:pPr>
        <w:spacing w:after="0" w:line="121" w:lineRule="exact"/>
        <w:rPr>
          <w:sz w:val="20"/>
          <w:szCs w:val="20"/>
          <w:color w:val="auto"/>
        </w:rPr>
      </w:pPr>
    </w:p>
    <w:p>
      <w:pPr>
        <w:ind w:firstLine="599"/>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significant fluctuations. Market prices for securities of early-stage pharmaceutical, biopharmaceutical, and other life sciences companies have historically been particularly volatile. Some of the factors that may cause the market price of our common stock to fluctuate include:</w:t>
      </w:r>
    </w:p>
    <w:p>
      <w:pPr>
        <w:spacing w:after="0" w:line="68"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our financial condition and our ability to raise sufficient capital to fund our ongoing operations;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our product candidates or other product candidates, and delays or failures to obtain such approvals;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product candidates, if approved, to achieve commercial success;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approved products, if any, or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and any future clinical trials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about the ability of tegoprubart to prevent rejection in connection with kidney, xeno or islet cell transplantations;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key agreements, including key commercial partner agreements;</w:t>
      </w:r>
    </w:p>
    <w:p>
      <w:pPr>
        <w:spacing w:after="0" w:line="117"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material developments in, or conclusion of litigation to enforce or defend any of our intellectual property rights or defend against the intellectual property rights of others;</w:t>
      </w:r>
    </w:p>
    <w:p>
      <w:pPr>
        <w:spacing w:after="0" w:line="53"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commercial partners or competitors of new commercial products, clinical progress, or the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potential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if any, who cover our common stock;</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 that may affect our research and development expenditures;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shares of common stock.</w:t>
      </w:r>
    </w:p>
    <w:p>
      <w:pPr>
        <w:spacing w:after="0" w:line="225" w:lineRule="exact"/>
        <w:rPr>
          <w:sz w:val="20"/>
          <w:szCs w:val="20"/>
          <w:color w:val="auto"/>
        </w:rPr>
      </w:pPr>
    </w:p>
    <w:p>
      <w:pPr>
        <w:ind w:right="560" w:firstLine="599"/>
        <w:spacing w:after="0" w:line="282"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40" w:firstLine="599"/>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 attention and resources, which could significantly harm our profitability and reputation.</w:t>
      </w:r>
    </w:p>
    <w:p>
      <w:pPr>
        <w:spacing w:after="0" w:line="280" w:lineRule="exact"/>
        <w:rPr>
          <w:sz w:val="20"/>
          <w:szCs w:val="20"/>
          <w:color w:val="auto"/>
        </w:rPr>
      </w:pPr>
    </w:p>
    <w:p>
      <w:pPr>
        <w:ind w:firstLine="599"/>
        <w:spacing w:after="0" w:line="268" w:lineRule="auto"/>
        <w:rPr>
          <w:sz w:val="20"/>
          <w:szCs w:val="20"/>
          <w:color w:val="auto"/>
        </w:rPr>
      </w:pPr>
      <w:r>
        <w:rPr>
          <w:rFonts w:ascii="Times New Roman" w:cs="Times New Roman" w:eastAsia="Times New Roman" w:hAnsi="Times New Roman"/>
          <w:sz w:val="18"/>
          <w:szCs w:val="18"/>
          <w:b w:val="1"/>
          <w:bCs w:val="1"/>
          <w:i w:val="1"/>
          <w:iCs w:val="1"/>
          <w:color w:val="080808"/>
        </w:rPr>
        <w:t>We have previously identified and remediated a material weakness in our internal control over financial reporting. If we fail to maintain effective internal controls, we may conclude that our internal control over financial reporting is not effective, which could adversely affect our ability to report our results of operations and financial condition accurately and in a timely manner.</w:t>
      </w:r>
    </w:p>
    <w:p>
      <w:pPr>
        <w:spacing w:after="0" w:line="175" w:lineRule="exact"/>
        <w:rPr>
          <w:sz w:val="20"/>
          <w:szCs w:val="20"/>
          <w:color w:val="auto"/>
        </w:rPr>
      </w:pPr>
    </w:p>
    <w:p>
      <w:pPr>
        <w:ind w:right="60" w:firstLine="599"/>
        <w:spacing w:after="0" w:line="255" w:lineRule="auto"/>
        <w:rPr>
          <w:sz w:val="20"/>
          <w:szCs w:val="20"/>
          <w:color w:val="auto"/>
        </w:rPr>
      </w:pPr>
      <w:r>
        <w:rPr>
          <w:rFonts w:ascii="Times New Roman" w:cs="Times New Roman" w:eastAsia="Times New Roman" w:hAnsi="Times New Roman"/>
          <w:sz w:val="18"/>
          <w:szCs w:val="18"/>
          <w:color w:val="080808"/>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U.S. generally accepted accounting principles (“GAAP”). Our management is likewise required, on a quarterly basis, to evaluate the effectiveness of our disclosure controls and procedures, and to disclose any material weaknesses and any changes in our internal control over financial reporting that have materially affected, or are reasonably likely to materially affect, such controls. Ensuring that we will have adequate internal financial and accounting controls and procedures in place so that we can produce accurate financial statements on a timely basis is a costly and time-consuming effort that needs to be re-evaluated frequently.</w:t>
      </w:r>
    </w:p>
    <w:p>
      <w:pPr>
        <w:spacing w:after="0" w:line="189" w:lineRule="exact"/>
        <w:rPr>
          <w:sz w:val="20"/>
          <w:szCs w:val="20"/>
          <w:color w:val="auto"/>
        </w:rPr>
      </w:pPr>
    </w:p>
    <w:p>
      <w:pPr>
        <w:ind w:right="40" w:firstLine="599"/>
        <w:spacing w:after="0" w:line="253" w:lineRule="auto"/>
        <w:rPr>
          <w:sz w:val="20"/>
          <w:szCs w:val="20"/>
          <w:color w:val="auto"/>
        </w:rPr>
      </w:pPr>
      <w:r>
        <w:rPr>
          <w:rFonts w:ascii="Times New Roman" w:cs="Times New Roman" w:eastAsia="Times New Roman" w:hAnsi="Times New Roman"/>
          <w:sz w:val="18"/>
          <w:szCs w:val="18"/>
          <w:color w:val="080808"/>
        </w:rPr>
        <w:t>We have previously identified and remediated a material weakness in our internal controls over financial reporting, including as described Part II Item 9A, Controls and Procedures of the Annual Report on Form 10-K for the year ended December 31, 2025, filed on March 19, 2026.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Although the Company concluded that as of December 31, 2025 its internal control over financial reporting was effective, the Company cannot provide assurances that the remediated material weakness will not reoccur, or that a new material weakness will not occur in the future. The existence of any material weakness could require management to devote significant time and incur significant expense to remediate any such material weakness and management may not be able to remediate any such material weakness in a timely manner. If we fail to maintain effective internal controls or any such material weakness is not remediated effectively or in a sufficient amount time, our ability to report our results of operations and financial condition accurately and in a timely manner could be adversely impacted. Further, we could be impacted by a material misstatement of our annual or interim financial statements that was not prevented or detected on a timely basis, which could have a negative effect on our results of operations and/or the trading price of our securities.</w:t>
      </w:r>
    </w:p>
    <w:p>
      <w:pPr>
        <w:spacing w:after="0" w:line="296" w:lineRule="exact"/>
        <w:rPr>
          <w:sz w:val="20"/>
          <w:szCs w:val="20"/>
          <w:color w:val="auto"/>
        </w:rPr>
      </w:pPr>
    </w:p>
    <w:p>
      <w:pPr>
        <w:ind w:firstLine="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the Company, which may be beneficial to our stockholders, more difficult and may prevent attempts by our stockholders to replace or remove our current management.</w:t>
      </w:r>
    </w:p>
    <w:p>
      <w:pPr>
        <w:spacing w:after="0" w:line="51" w:lineRule="exact"/>
        <w:rPr>
          <w:sz w:val="20"/>
          <w:szCs w:val="20"/>
          <w:color w:val="auto"/>
        </w:rPr>
      </w:pPr>
    </w:p>
    <w:p>
      <w:pPr>
        <w:ind w:firstLine="599"/>
        <w:spacing w:after="0" w:line="256" w:lineRule="auto"/>
        <w:rPr>
          <w:sz w:val="20"/>
          <w:szCs w:val="20"/>
          <w:color w:val="auto"/>
        </w:rPr>
      </w:pPr>
      <w:r>
        <w:rPr>
          <w:rFonts w:ascii="Times New Roman" w:cs="Times New Roman" w:eastAsia="Times New Roman" w:hAnsi="Times New Roman"/>
          <w:sz w:val="18"/>
          <w:szCs w:val="18"/>
          <w:color w:val="auto"/>
        </w:rPr>
        <w:t>Provisions in our corporate charter and bylaws may discourage, delay or prevent a merger, acquisition or other change in control of the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is responsible for appointing the members of our management team, these provisions may frustrate or prevent any attempts by stockholders to replace or remove the current management by making it more difficult for stockholders to replace members of our Board. Among other things, these provisions:</w:t>
      </w:r>
    </w:p>
    <w:p>
      <w:pPr>
        <w:spacing w:after="0" w:line="79"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such that not all members of the Board are elected at one time;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w:t>
      </w:r>
    </w:p>
    <w:p>
      <w:pPr>
        <w:spacing w:after="0" w:line="117"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right="100" w:hanging="378"/>
        <w:spacing w:after="0" w:line="312" w:lineRule="auto"/>
        <w:tabs>
          <w:tab w:leader="none" w:pos="7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to issue preferred stock without stockholder approval, which could be used to institute a “poison pill” that would work to dilute the stock ownership of a potential hostile acquirer, effectively preventing acquisitions that have not been approved by our Board; and</w:t>
      </w:r>
    </w:p>
    <w:p>
      <w:pPr>
        <w:spacing w:after="0" w:line="31" w:lineRule="exact"/>
        <w:rPr>
          <w:rFonts w:ascii="Times New Roman" w:cs="Times New Roman" w:eastAsia="Times New Roman" w:hAnsi="Times New Roman"/>
          <w:sz w:val="17"/>
          <w:szCs w:val="17"/>
          <w:color w:val="auto"/>
        </w:rPr>
      </w:pPr>
    </w:p>
    <w:p>
      <w:pPr>
        <w:ind w:left="760" w:right="30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the Company’s charter or bylaws.</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cash dividends in the foreseeable future.</w:t>
      </w:r>
    </w:p>
    <w:p>
      <w:pPr>
        <w:spacing w:after="0" w:line="121" w:lineRule="exact"/>
        <w:rPr>
          <w:sz w:val="20"/>
          <w:szCs w:val="20"/>
          <w:color w:val="auto"/>
        </w:rPr>
      </w:pPr>
    </w:p>
    <w:p>
      <w:pPr>
        <w:ind w:right="440" w:firstLine="599"/>
        <w:spacing w:after="0" w:line="282" w:lineRule="auto"/>
        <w:rPr>
          <w:sz w:val="20"/>
          <w:szCs w:val="20"/>
          <w:color w:val="auto"/>
        </w:rPr>
      </w:pPr>
      <w:r>
        <w:rPr>
          <w:rFonts w:ascii="Times New Roman" w:cs="Times New Roman" w:eastAsia="Times New Roman" w:hAnsi="Times New Roman"/>
          <w:sz w:val="18"/>
          <w:szCs w:val="18"/>
          <w:color w:val="auto"/>
        </w:rPr>
        <w:t>We expect to retain our future earnings to fund the development and growth of our business. As a result, capital appreciation, if any, of our common stock will be the sole source of gain, if any, for any stockholders for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firstLine="599"/>
        <w:spacing w:after="0" w:line="266" w:lineRule="auto"/>
        <w:rPr>
          <w:sz w:val="20"/>
          <w:szCs w:val="20"/>
          <w:color w:val="auto"/>
        </w:rPr>
      </w:pPr>
      <w:r>
        <w:rPr>
          <w:rFonts w:ascii="Times New Roman" w:cs="Times New Roman" w:eastAsia="Times New Roman" w:hAnsi="Times New Roman"/>
          <w:sz w:val="18"/>
          <w:szCs w:val="18"/>
          <w:color w:val="auto"/>
        </w:rPr>
        <w:t>On January 13, 2026, the Company completed the issuance of 395,964 shares of its common stock, $0.001 par value per share, to a life sciences-focused lending partner in settlement of a cancellation fee payable to the third party in the amount of $591,393. The shares were sold pursuant to the exemption from registration provided in Section 4(a)(2) under the Securities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21" w:lineRule="exact"/>
        <w:rPr>
          <w:sz w:val="20"/>
          <w:szCs w:val="20"/>
          <w:color w:val="auto"/>
        </w:rPr>
      </w:pPr>
    </w:p>
    <w:p>
      <w:pPr>
        <w:jc w:val="both"/>
        <w:ind w:right="240" w:firstLine="59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officers or directors adopted, modified or terminated any contract, instruction or written plan for the purchase or sale of our securities that was intended to satisfy the affirmative defense conditions of Rule 10b5-1(c) or constituted a “non-Rule 10b5-1 trading arrangement.”</w:t>
      </w:r>
    </w:p>
    <w:p>
      <w:pPr>
        <w:spacing w:after="0" w:line="28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40" w:type="dxa"/>
            <w:vAlign w:val="bottom"/>
            <w:gridSpan w:val="14"/>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40" w:type="dxa"/>
            <w:vAlign w:val="bottom"/>
            <w:tcBorders>
              <w:bottom w:val="single" w:sz="8" w:color="auto"/>
            </w:tcBorders>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10140" w:type="dxa"/>
            <w:vAlign w:val="bottom"/>
            <w:gridSpan w:val="22"/>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Restated Certificate of Incorporation of Novus Therapeutics, Inc., a Delaware corporation, dated September 22, 2014 (filed with the SEC as</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Exhibit 3.1 on the Company’s Current Report on Form 8-K filed on September 26, 2014).</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0"/>
                <w:szCs w:val="20"/>
                <w:color w:val="auto"/>
              </w:rPr>
            </w:pPr>
          </w:p>
        </w:tc>
        <w:tc>
          <w:tcPr>
            <w:tcW w:w="10140" w:type="dxa"/>
            <w:vAlign w:val="bottom"/>
            <w:gridSpan w:val="22"/>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Certificate of Amendment to Certificate of Incorporation of Novus Therapeutics, Inc. (effecting, among other things a reverse stock-split),</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filed with the Secretary of the State of Delaware on May 9, 2017 (filed with the SEC as Exhibit 3.1 on the Company’s Current Report on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8-K filed on May 15, 2017).</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0"/>
                <w:szCs w:val="20"/>
                <w:color w:val="auto"/>
              </w:rPr>
            </w:pPr>
          </w:p>
        </w:tc>
        <w:tc>
          <w:tcPr>
            <w:tcW w:w="10140" w:type="dxa"/>
            <w:vAlign w:val="bottom"/>
            <w:gridSpan w:val="22"/>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Certificate of Amendment to Certificate of Incorporation of Novus Therapeutics, Inc. (effecting, among other things a change in the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corporation’s name to “Novus Therapeutics, Inc.”), filed with the Secretary of the State of Delaware on May 9, 2017 (filed with the SEC as</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Exhibit 3.2 on the Company’s Current Report on Form 8-K filed on May 15, 2017).</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0"/>
                <w:szCs w:val="20"/>
                <w:color w:val="auto"/>
              </w:rPr>
            </w:pPr>
          </w:p>
        </w:tc>
        <w:tc>
          <w:tcPr>
            <w:tcW w:w="10140" w:type="dxa"/>
            <w:vAlign w:val="bottom"/>
            <w:gridSpan w:val="22"/>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Certificate of Amendment to the Restated Certificate of Incorporation of Novus Therapeutics, Inc., (effecting, among other things a reverse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stock-split) effective as of October 5, 2020 (filed with the SEC as Exhibit 3.1 on the Company’s Current Report on Form 8-K filed on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October 6, 2020).</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0"/>
                <w:szCs w:val="20"/>
                <w:color w:val="auto"/>
              </w:rPr>
            </w:pPr>
          </w:p>
        </w:tc>
        <w:tc>
          <w:tcPr>
            <w:tcW w:w="10140" w:type="dxa"/>
            <w:vAlign w:val="bottom"/>
            <w:gridSpan w:val="22"/>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Certificate of Amendment to the Restated Certificate of Incorporation of Novus Therapeutics, Inc., (effecting, among other things a change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in the corporation’s name to “Eledon Pharmaceuticals, Inc.”) effective as of January 5, 2021 (filed with the SEC as Exhibit 3.1 on the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Company’s Current Report on Form 8-K filed on January 5, 2021).</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0"/>
                <w:szCs w:val="20"/>
                <w:color w:val="auto"/>
              </w:rPr>
            </w:pPr>
          </w:p>
        </w:tc>
        <w:tc>
          <w:tcPr>
            <w:tcW w:w="10140" w:type="dxa"/>
            <w:vAlign w:val="bottom"/>
            <w:gridSpan w:val="22"/>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Certificate of Amendment to the Restated Certificate of Incorporation, as amended, of Eledon Pharmaceuticals, Inc., (effecting an increase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in authorized shares of common stock) effective June 10, 2025 (filed with the SEC as Exhibit 3.1 on the Company’s Current Report on Form</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8-K filed on June 12, 2025).</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0"/>
                <w:szCs w:val="20"/>
                <w:color w:val="auto"/>
              </w:rPr>
            </w:pPr>
          </w:p>
        </w:tc>
        <w:tc>
          <w:tcPr>
            <w:tcW w:w="10140" w:type="dxa"/>
            <w:vAlign w:val="bottom"/>
            <w:gridSpan w:val="22"/>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Certificate of Amendment to the Restated Certificate of Incorporation, as amended, of Eledon Pharmaceuticals, Inc., (providing for</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exculpation of certain officers) effective June 10, 2025 (filed with the SEC as Exhibit 3.2 on the Company’s Current Report on Form 8-K</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62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filed on June 12, 2025).</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0"/>
                <w:szCs w:val="20"/>
                <w:color w:val="auto"/>
              </w:rPr>
            </w:pPr>
          </w:p>
        </w:tc>
        <w:tc>
          <w:tcPr>
            <w:tcW w:w="10140" w:type="dxa"/>
            <w:vAlign w:val="bottom"/>
            <w:gridSpan w:val="22"/>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Certificate of Designations of Series X Convertible Preferred Stock (filed with the SEC as Exhibit 3.1 to the Company’s Current Report on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62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Form 8-K filed on February 19, 2020).</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vMerge w:val="restart"/>
          </w:tcPr>
          <w:p>
            <w:pPr>
              <w:jc w:val="right"/>
              <w:ind w:right="55"/>
              <w:spacing w:after="0"/>
              <w:rPr>
                <w:rFonts w:ascii="Times New Roman" w:cs="Times New Roman" w:eastAsia="Times New Roman" w:hAnsi="Times New Roman"/>
                <w:sz w:val="5"/>
                <w:szCs w:val="5"/>
                <w:u w:val="single" w:color="auto"/>
                <w:color w:val="0000FF"/>
                <w:w w:val="77"/>
              </w:rPr>
            </w:pPr>
            <w:hyperlink r:id="rId201">
              <w:r>
                <w:rPr>
                  <w:rFonts w:ascii="Times New Roman" w:cs="Times New Roman" w:eastAsia="Times New Roman" w:hAnsi="Times New Roman"/>
                  <w:sz w:val="5"/>
                  <w:szCs w:val="5"/>
                  <w:u w:val="single" w:color="auto"/>
                  <w:color w:val="0000FF"/>
                  <w:w w:val="77"/>
                </w:rPr>
                <w:t>1</w:t>
              </w:r>
            </w:hyperlink>
          </w:p>
        </w:tc>
        <w:tc>
          <w:tcPr>
            <w:tcW w:w="2060" w:type="dxa"/>
            <w:vAlign w:val="bottom"/>
            <w:gridSpan w:val="2"/>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3"/>
                <w:szCs w:val="13"/>
                <w:color w:val="auto"/>
              </w:rPr>
            </w:pPr>
          </w:p>
        </w:tc>
        <w:tc>
          <w:tcPr>
            <w:tcW w:w="2780" w:type="dxa"/>
            <w:vAlign w:val="bottom"/>
            <w:gridSpan w:val="7"/>
            <w:vMerge w:val="restart"/>
          </w:tcPr>
          <w:p>
            <w:pPr>
              <w:spacing w:after="0"/>
              <w:rPr>
                <w:rFonts w:ascii="Times New Roman" w:cs="Times New Roman" w:eastAsia="Times New Roman" w:hAnsi="Times New Roman"/>
                <w:sz w:val="18"/>
                <w:szCs w:val="18"/>
                <w:color w:val="0000FF"/>
                <w:w w:val="98"/>
              </w:rPr>
            </w:pPr>
            <w:hyperlink r:id="rId201">
              <w:r>
                <w:rPr>
                  <w:rFonts w:ascii="Times New Roman" w:cs="Times New Roman" w:eastAsia="Times New Roman" w:hAnsi="Times New Roman"/>
                  <w:sz w:val="18"/>
                  <w:szCs w:val="18"/>
                  <w:color w:val="0000FF"/>
                  <w:w w:val="98"/>
                </w:rPr>
                <w:t>Certificate of Designations of Series X</w:t>
              </w:r>
            </w:hyperlink>
          </w:p>
        </w:tc>
        <w:tc>
          <w:tcPr>
            <w:tcW w:w="120" w:type="dxa"/>
            <w:vAlign w:val="bottom"/>
            <w:tcBorders>
              <w:bottom w:val="single" w:sz="8" w:color="0000EE"/>
            </w:tcBorders>
            <w:vMerge w:val="continue"/>
          </w:tcPr>
          <w:p>
            <w:pPr>
              <w:spacing w:after="0"/>
              <w:rPr>
                <w:sz w:val="13"/>
                <w:szCs w:val="13"/>
                <w:color w:val="auto"/>
              </w:rPr>
            </w:pPr>
          </w:p>
        </w:tc>
        <w:tc>
          <w:tcPr>
            <w:tcW w:w="7240" w:type="dxa"/>
            <w:vAlign w:val="bottom"/>
            <w:gridSpan w:val="14"/>
            <w:vMerge w:val="restart"/>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Convertible Preferred Stock (filed with the SEC as Exhibit 3.1 to the Company’s Current Report on</w:t>
              </w:r>
            </w:hyperlink>
          </w:p>
        </w:tc>
        <w:tc>
          <w:tcPr>
            <w:tcW w:w="0" w:type="dxa"/>
            <w:vAlign w:val="bottom"/>
          </w:tcPr>
          <w:p>
            <w:pPr>
              <w:spacing w:after="0"/>
              <w:rPr>
                <w:sz w:val="1"/>
                <w:szCs w:val="1"/>
                <w:color w:val="auto"/>
              </w:rPr>
            </w:pPr>
          </w:p>
        </w:tc>
      </w:tr>
      <w:tr>
        <w:trPr>
          <w:trHeight w:val="61"/>
        </w:trPr>
        <w:tc>
          <w:tcPr>
            <w:tcW w:w="9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780" w:type="dxa"/>
            <w:vAlign w:val="bottom"/>
            <w:gridSpan w:val="7"/>
            <w:vMerge w:val="continue"/>
          </w:tcPr>
          <w:p>
            <w:pPr>
              <w:spacing w:after="0"/>
              <w:rPr>
                <w:sz w:val="5"/>
                <w:szCs w:val="5"/>
                <w:color w:val="auto"/>
              </w:rPr>
            </w:pPr>
          </w:p>
        </w:tc>
        <w:tc>
          <w:tcPr>
            <w:tcW w:w="120" w:type="dxa"/>
            <w:vAlign w:val="bottom"/>
          </w:tcPr>
          <w:p>
            <w:pPr>
              <w:spacing w:after="0"/>
              <w:rPr>
                <w:sz w:val="5"/>
                <w:szCs w:val="5"/>
                <w:color w:val="auto"/>
              </w:rPr>
            </w:pPr>
          </w:p>
        </w:tc>
        <w:tc>
          <w:tcPr>
            <w:tcW w:w="7240" w:type="dxa"/>
            <w:vAlign w:val="bottom"/>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EE"/>
              <w:right w:val="single" w:sz="8" w:color="0000FF"/>
            </w:tcBorders>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462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Form 8-K filed on September 15, 2020).</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spacing w:after="0"/>
              <w:rPr>
                <w:sz w:val="20"/>
                <w:szCs w:val="20"/>
                <w:color w:val="auto"/>
              </w:rPr>
            </w:pPr>
          </w:p>
        </w:tc>
        <w:tc>
          <w:tcPr>
            <w:tcW w:w="10140" w:type="dxa"/>
            <w:vAlign w:val="bottom"/>
            <w:gridSpan w:val="22"/>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Amended and Restated Bylaws of Eledon Pharmaceuticals, Inc. (filed with the SEC as Exhibit 3.2 to the Company’s Current Report on</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gridSpan w:val="5"/>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462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Form 8-K filed on January 5, 2021).</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EE"/>
            </w:tcBorders>
            <w:gridSpan w:val="5"/>
            <w:shd w:val="clear" w:color="auto" w:fill="0000FF"/>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0"/>
                <w:szCs w:val="20"/>
                <w:color w:val="auto"/>
              </w:rPr>
            </w:pPr>
          </w:p>
        </w:tc>
        <w:tc>
          <w:tcPr>
            <w:tcW w:w="10140" w:type="dxa"/>
            <w:vAlign w:val="bottom"/>
            <w:gridSpan w:val="22"/>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Form of Exchange Warrant (filed with the SEC as Exhibit 4.1 to the Company’s Current Report on Form 8-K filed on January 2, 2026).</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9"/>
            <w:shd w:val="clear" w:color="auto" w:fill="0000FF"/>
          </w:tcPr>
          <w:p>
            <w:pPr>
              <w:spacing w:after="0" w:line="20" w:lineRule="exact"/>
              <w:rPr>
                <w:sz w:val="1"/>
                <w:szCs w:val="1"/>
                <w:color w:val="auto"/>
              </w:rPr>
            </w:pPr>
          </w:p>
        </w:tc>
        <w:tc>
          <w:tcPr>
            <w:tcW w:w="462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0"/>
                <w:szCs w:val="20"/>
                <w:color w:val="auto"/>
              </w:rPr>
            </w:pPr>
          </w:p>
        </w:tc>
        <w:tc>
          <w:tcPr>
            <w:tcW w:w="10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9"/>
            <w:shd w:val="clear" w:color="auto" w:fill="0000FF"/>
          </w:tcPr>
          <w:p>
            <w:pPr>
              <w:spacing w:after="0" w:line="20" w:lineRule="exact"/>
              <w:rPr>
                <w:sz w:val="1"/>
                <w:szCs w:val="1"/>
                <w:color w:val="auto"/>
              </w:rPr>
            </w:pPr>
          </w:p>
        </w:tc>
        <w:tc>
          <w:tcPr>
            <w:tcW w:w="46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9"/>
            <w:shd w:val="clear" w:color="auto" w:fill="0000FF"/>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680" w:type="dxa"/>
            <w:vAlign w:val="bottom"/>
            <w:gridSpan w:val="13"/>
            <w:shd w:val="clear" w:color="auto" w:fill="0000FF"/>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9"/>
            <w:shd w:val="clear" w:color="auto" w:fill="0000FF"/>
          </w:tcPr>
          <w:p>
            <w:pPr>
              <w:spacing w:after="0" w:line="20" w:lineRule="exact"/>
              <w:rPr>
                <w:sz w:val="1"/>
                <w:szCs w:val="1"/>
                <w:color w:val="auto"/>
              </w:rPr>
            </w:pPr>
          </w:p>
        </w:tc>
        <w:tc>
          <w:tcPr>
            <w:tcW w:w="5060" w:type="dxa"/>
            <w:vAlign w:val="bottom"/>
            <w:gridSpan w:val="1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20" w:type="dxa"/>
            <w:vAlign w:val="bottom"/>
            <w:gridSpan w:val="19"/>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1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1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20" w:type="dxa"/>
            <w:vAlign w:val="bottom"/>
            <w:gridSpan w:val="20"/>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24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40" w:type="dxa"/>
            <w:vAlign w:val="bottom"/>
          </w:tcPr>
          <w:p>
            <w:pPr>
              <w:spacing w:after="0"/>
              <w:rPr>
                <w:sz w:val="24"/>
                <w:szCs w:val="24"/>
                <w:color w:val="auto"/>
              </w:rPr>
            </w:pPr>
          </w:p>
        </w:tc>
        <w:tc>
          <w:tcPr>
            <w:tcW w:w="101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24"/>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40" w:type="dxa"/>
            <w:vAlign w:val="bottom"/>
          </w:tcPr>
          <w:p>
            <w:pPr>
              <w:spacing w:after="0"/>
              <w:rPr>
                <w:sz w:val="24"/>
                <w:szCs w:val="24"/>
                <w:color w:val="auto"/>
              </w:rPr>
            </w:pPr>
          </w:p>
        </w:tc>
        <w:tc>
          <w:tcPr>
            <w:tcW w:w="101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80" w:hanging="728"/>
        <w:spacing w:after="0"/>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1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8"/>
          <w:szCs w:val="18"/>
          <w:color w:val="auto"/>
        </w:rPr>
      </w:pPr>
    </w:p>
    <w:p>
      <w:pPr>
        <w:ind w:left="580" w:hanging="572"/>
        <w:spacing w:after="0" w:line="191" w:lineRule="auto"/>
        <w:tabs>
          <w:tab w:leader="none" w:pos="580" w:val="left"/>
        </w:tabs>
        <w:numPr>
          <w:ilvl w:val="0"/>
          <w:numId w:val="4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Furnished herewith.</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5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Eledon Pharmaceuticals,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David-Alexandre C. Gros, M.D.</w:t>
            </w:r>
          </w:p>
        </w:tc>
      </w:tr>
      <w:tr>
        <w:trPr>
          <w:trHeight w:val="187"/>
        </w:trPr>
        <w:tc>
          <w:tcPr>
            <w:tcW w:w="35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9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David-Alexandre C. Gros, M.D.</w:t>
            </w:r>
          </w:p>
        </w:tc>
      </w:tr>
      <w:tr>
        <w:trPr>
          <w:trHeight w:val="216"/>
        </w:trPr>
        <w:tc>
          <w:tcPr>
            <w:tcW w:w="3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16"/>
        </w:trPr>
        <w:tc>
          <w:tcPr>
            <w:tcW w:w="3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and Director (Principal</w:t>
            </w:r>
          </w:p>
        </w:tc>
      </w:tr>
      <w:tr>
        <w:trPr>
          <w:trHeight w:val="238"/>
        </w:trPr>
        <w:tc>
          <w:tcPr>
            <w:tcW w:w="3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Little</w:t>
            </w:r>
          </w:p>
        </w:tc>
      </w:tr>
      <w:tr>
        <w:trPr>
          <w:trHeight w:val="187"/>
        </w:trPr>
        <w:tc>
          <w:tcPr>
            <w:tcW w:w="35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9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Paul Little</w:t>
            </w:r>
          </w:p>
        </w:tc>
      </w:tr>
      <w:tr>
        <w:trPr>
          <w:trHeight w:val="216"/>
        </w:trPr>
        <w:tc>
          <w:tcPr>
            <w:tcW w:w="3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8"/>
        </w:trPr>
        <w:tc>
          <w:tcPr>
            <w:tcW w:w="3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tc>
      </w:tr>
      <w:tr>
        <w:trPr>
          <w:trHeight w:val="540"/>
        </w:trPr>
        <w:tc>
          <w:tcPr>
            <w:tcW w:w="3500" w:type="dxa"/>
            <w:vAlign w:val="bottom"/>
          </w:tcPr>
          <w:p>
            <w:pPr>
              <w:spacing w:after="0"/>
              <w:rPr>
                <w:sz w:val="24"/>
                <w:szCs w:val="24"/>
                <w:color w:val="auto"/>
              </w:rPr>
            </w:pPr>
          </w:p>
        </w:tc>
        <w:tc>
          <w:tcPr>
            <w:tcW w:w="382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64</w:t>
            </w:r>
          </w:p>
        </w:tc>
        <w:tc>
          <w:tcPr>
            <w:tcW w:w="392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David-Alexandre C. Gros, M.D., certify that:</w:t>
      </w:r>
    </w:p>
    <w:p>
      <w:pPr>
        <w:spacing w:after="0" w:line="117" w:lineRule="exact"/>
        <w:rPr>
          <w:sz w:val="20"/>
          <w:szCs w:val="20"/>
          <w:color w:val="auto"/>
        </w:rPr>
      </w:pPr>
    </w:p>
    <w:p>
      <w:pPr>
        <w:ind w:left="700" w:hanging="183"/>
        <w:spacing w:after="0"/>
        <w:tabs>
          <w:tab w:leader="none" w:pos="7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Eledon Pharmaceuticals,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right="320" w:firstLine="517"/>
        <w:spacing w:after="0" w:line="266" w:lineRule="auto"/>
        <w:tabs>
          <w:tab w:leader="none" w:pos="6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right="820" w:firstLine="517"/>
        <w:spacing w:after="0" w:line="282" w:lineRule="auto"/>
        <w:tabs>
          <w:tab w:leader="none" w:pos="6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20" w:firstLine="517"/>
        <w:spacing w:after="0" w:line="266" w:lineRule="auto"/>
        <w:tabs>
          <w:tab w:leader="none" w:pos="70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220" w:firstLine="517"/>
        <w:spacing w:after="0" w:line="282" w:lineRule="auto"/>
        <w:tabs>
          <w:tab w:leader="none" w:pos="68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40" w:firstLine="517"/>
        <w:spacing w:after="0" w:line="282" w:lineRule="auto"/>
        <w:tabs>
          <w:tab w:leader="none" w:pos="6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80" w:firstLine="517"/>
        <w:spacing w:after="0" w:line="282" w:lineRule="auto"/>
        <w:tabs>
          <w:tab w:leader="none" w:pos="7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7160" w:type="dxa"/>
            <w:vAlign w:val="bottom"/>
            <w:gridSpan w:val="2"/>
          </w:tcPr>
          <w:p>
            <w:pPr>
              <w:ind w:left="2640"/>
              <w:spacing w:after="0"/>
              <w:rPr>
                <w:sz w:val="20"/>
                <w:szCs w:val="20"/>
                <w:color w:val="auto"/>
              </w:rPr>
            </w:pPr>
            <w:r>
              <w:rPr>
                <w:rFonts w:ascii="Times New Roman" w:cs="Times New Roman" w:eastAsia="Times New Roman" w:hAnsi="Times New Roman"/>
                <w:sz w:val="18"/>
                <w:szCs w:val="18"/>
                <w:color w:val="auto"/>
              </w:rPr>
              <w:t>By:   /s/ David-Alexandre C. Gros, M.D.</w:t>
            </w:r>
          </w:p>
        </w:tc>
      </w:tr>
      <w:tr>
        <w:trPr>
          <w:trHeight w:val="191"/>
        </w:trPr>
        <w:tc>
          <w:tcPr>
            <w:tcW w:w="40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David-Alexandre C. Gros, M.D.</w:t>
            </w:r>
          </w:p>
        </w:tc>
      </w:tr>
      <w:tr>
        <w:trPr>
          <w:trHeight w:val="216"/>
        </w:trPr>
        <w:tc>
          <w:tcPr>
            <w:tcW w:w="4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0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38"/>
        </w:trPr>
        <w:tc>
          <w:tcPr>
            <w:tcW w:w="40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65" w:name="page66"/>
    <w:bookmarkEnd w:id="65"/>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Little, certify that:</w:t>
      </w:r>
    </w:p>
    <w:p>
      <w:pPr>
        <w:spacing w:after="0" w:line="117" w:lineRule="exact"/>
        <w:rPr>
          <w:sz w:val="20"/>
          <w:szCs w:val="20"/>
          <w:color w:val="auto"/>
        </w:rPr>
      </w:pPr>
    </w:p>
    <w:p>
      <w:pPr>
        <w:ind w:left="700" w:hanging="183"/>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Eledon Pharmaceuticals,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517"/>
        <w:spacing w:after="0" w:line="266" w:lineRule="auto"/>
        <w:tabs>
          <w:tab w:leader="none" w:pos="6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right="320" w:firstLine="517"/>
        <w:spacing w:after="0" w:line="266" w:lineRule="auto"/>
        <w:tabs>
          <w:tab w:leader="none" w:pos="6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20" w:hanging="203"/>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right="820" w:firstLine="517"/>
        <w:spacing w:after="0" w:line="282" w:lineRule="auto"/>
        <w:tabs>
          <w:tab w:leader="none" w:pos="6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20" w:firstLine="517"/>
        <w:spacing w:after="0" w:line="266" w:lineRule="auto"/>
        <w:tabs>
          <w:tab w:leader="none" w:pos="70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right="220" w:firstLine="517"/>
        <w:spacing w:after="0" w:line="282" w:lineRule="auto"/>
        <w:tabs>
          <w:tab w:leader="none" w:pos="6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sz w:val="20"/>
          <w:szCs w:val="20"/>
          <w:color w:val="auto"/>
        </w:rPr>
      </w:pPr>
    </w:p>
    <w:p>
      <w:pPr>
        <w:ind w:right="240" w:firstLine="517"/>
        <w:spacing w:after="0" w:line="282" w:lineRule="auto"/>
        <w:tabs>
          <w:tab w:leader="none" w:pos="69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80" w:firstLine="517"/>
        <w:spacing w:after="0" w:line="282" w:lineRule="auto"/>
        <w:tabs>
          <w:tab w:leader="none" w:pos="70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32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Little</w:t>
            </w:r>
          </w:p>
        </w:tc>
      </w:tr>
      <w:tr>
        <w:trPr>
          <w:trHeight w:val="191"/>
        </w:trPr>
        <w:tc>
          <w:tcPr>
            <w:tcW w:w="40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Little</w:t>
            </w:r>
          </w:p>
        </w:tc>
      </w:tr>
      <w:tr>
        <w:trPr>
          <w:trHeight w:val="216"/>
        </w:trPr>
        <w:tc>
          <w:tcPr>
            <w:tcW w:w="4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0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681"/>
        </w:trPr>
        <w:tc>
          <w:tcPr>
            <w:tcW w:w="40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66" w:name="page67"/>
    <w:bookmarkEnd w:id="66"/>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Eledon Pharmaceuticals, Inc. (the “Company”) for the period ended March 31, 2026 as filed with the Securities and Exchange Commission on the date hereof (the “Report”), the undersigned, David-Alexandre C. Gros, M.D., Chief Executive Officer of the Company, hereby certifies, pursuant to 18 U.S.C. Section 1350, as adopted pursuant to Section 906 of the Sarbanes-Oxley Act of 2002, that to the best of his knowledge:</w:t>
      </w:r>
    </w:p>
    <w:p>
      <w:pPr>
        <w:spacing w:after="0" w:line="72" w:lineRule="exact"/>
        <w:rPr>
          <w:sz w:val="20"/>
          <w:szCs w:val="20"/>
          <w:color w:val="auto"/>
        </w:rPr>
      </w:pPr>
    </w:p>
    <w:p>
      <w:pPr>
        <w:ind w:left="780" w:hanging="263"/>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1934; and</w:t>
      </w:r>
    </w:p>
    <w:p>
      <w:pPr>
        <w:spacing w:after="0" w:line="98"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7100" w:type="dxa"/>
            <w:vAlign w:val="bottom"/>
            <w:gridSpan w:val="2"/>
          </w:tcPr>
          <w:p>
            <w:pPr>
              <w:ind w:left="2680"/>
              <w:spacing w:after="0"/>
              <w:rPr>
                <w:sz w:val="20"/>
                <w:szCs w:val="20"/>
                <w:color w:val="auto"/>
              </w:rPr>
            </w:pPr>
            <w:r>
              <w:rPr>
                <w:rFonts w:ascii="Times New Roman" w:cs="Times New Roman" w:eastAsia="Times New Roman" w:hAnsi="Times New Roman"/>
                <w:sz w:val="18"/>
                <w:szCs w:val="18"/>
                <w:color w:val="auto"/>
              </w:rPr>
              <w:t>By:   /s/ David-Alexandre C. Gros, M.D.</w:t>
            </w:r>
          </w:p>
        </w:tc>
      </w:tr>
      <w:tr>
        <w:trPr>
          <w:trHeight w:val="191"/>
        </w:trPr>
        <w:tc>
          <w:tcPr>
            <w:tcW w:w="41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David-Alexandre C. Gros, M.D.</w:t>
            </w:r>
          </w:p>
        </w:tc>
      </w:tr>
      <w:tr>
        <w:trPr>
          <w:trHeight w:val="216"/>
        </w:trPr>
        <w:tc>
          <w:tcPr>
            <w:tcW w:w="4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317"/>
        </w:trPr>
        <w:tc>
          <w:tcPr>
            <w:tcW w:w="41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7" w:name="page68"/>
    <w:bookmarkEnd w:id="67"/>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Eledon Pharmaceuticals, Inc. (the “Company”) for the period ended March 31, 2026 as filed with the Securities and Exchange Commission on the date hereof (the “Report”), the undersigned, Paul Little, Chief Financial Officer of the Company, hereby certifies, pursuant to 18 U.S.C. Section 1350, as adopted pursuant to Section 906 of the Sarbanes-Oxley Act of 2002, that to the best of his knowledge:</w:t>
      </w:r>
    </w:p>
    <w:p>
      <w:pPr>
        <w:spacing w:after="0" w:line="72" w:lineRule="exact"/>
        <w:rPr>
          <w:sz w:val="20"/>
          <w:szCs w:val="20"/>
          <w:color w:val="auto"/>
        </w:rPr>
      </w:pPr>
    </w:p>
    <w:p>
      <w:pPr>
        <w:ind w:left="780" w:hanging="263"/>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1934; and</w:t>
      </w:r>
    </w:p>
    <w:p>
      <w:pPr>
        <w:spacing w:after="0" w:line="98"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32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Little</w:t>
            </w:r>
          </w:p>
        </w:tc>
      </w:tr>
      <w:tr>
        <w:trPr>
          <w:trHeight w:val="191"/>
        </w:trPr>
        <w:tc>
          <w:tcPr>
            <w:tcW w:w="40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Little</w:t>
            </w:r>
          </w:p>
        </w:tc>
      </w:tr>
      <w:tr>
        <w:trPr>
          <w:trHeight w:val="216"/>
        </w:trPr>
        <w:tc>
          <w:tcPr>
            <w:tcW w:w="40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0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303"/>
        </w:trPr>
        <w:tc>
          <w:tcPr>
            <w:tcW w:w="40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decimal"/>
      <w:start w:val="606"/>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1)"/>
      <w:numFmt w:val="lowerLetter"/>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decimal"/>
      <w:start w:val="35"/>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lvl w:ilvl="1">
      <w:lvlJc w:val="left"/>
      <w:lvlText w:val="%2"/>
      <w:numFmt w:val="decimal"/>
      <w:start w:val="104"/>
    </w:lvl>
  </w:abstractNum>
  <w:abstractNum w:abstractNumId="40">
    <w:nsid w:val="4B588F54"/>
    <w:multiLevelType w:val="hybridMultilevel"/>
    <w:lvl w:ilvl="0">
      <w:lvlJc w:val="left"/>
      <w:lvlText w:val="**"/>
      <w:numFmt w:val="bullet"/>
      <w:start w:val="1"/>
    </w:lvl>
    <w:lvl w:ilvl="1">
      <w:lvlJc w:val="left"/>
      <w:lvlText w:val="%2"/>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5"/>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193" Type="http://schemas.openxmlformats.org/officeDocument/2006/relationships/hyperlink" Target="https://www.sec.gov/Archives/edgar/data/1404281/000119312514354857/d793658dex31.htm" TargetMode="External"/><Relationship Id="rId194" Type="http://schemas.openxmlformats.org/officeDocument/2006/relationships/hyperlink" Target="https://www.sec.gov/Archives/edgar/data/1404281/000119312517170677/d393884dex31.htm" TargetMode="External"/><Relationship Id="rId195" Type="http://schemas.openxmlformats.org/officeDocument/2006/relationships/hyperlink" Target="https://www.sec.gov/Archives/edgar/data/1404281/000119312517170677/d393884dex32.htm" TargetMode="External"/><Relationship Id="rId196" Type="http://schemas.openxmlformats.org/officeDocument/2006/relationships/hyperlink" Target="https://www.sec.gov/Archives/edgar/data/1404281/000119312520264806/d18987dex31.htm" TargetMode="External"/><Relationship Id="rId197" Type="http://schemas.openxmlformats.org/officeDocument/2006/relationships/hyperlink" Target="https://www.sec.gov/Archives/edgar/data/1404281/000110465921000921/tm211620d1_ex3-1.htm" TargetMode="External"/><Relationship Id="rId198" Type="http://schemas.openxmlformats.org/officeDocument/2006/relationships/hyperlink" Target="https://www.sec.gov/Archives/edgar/data/1404281/000095017025085588/eldn-ex3_1.htm" TargetMode="External"/><Relationship Id="rId199" Type="http://schemas.openxmlformats.org/officeDocument/2006/relationships/hyperlink" Target="https://www.sec.gov/Archives/edgar/data/1404281/000095017025085588/eldn-ex3_2.htm" TargetMode="External"/><Relationship Id="rId200" Type="http://schemas.openxmlformats.org/officeDocument/2006/relationships/hyperlink" Target="https://www.sec.gov/Archives/edgar/data/1404281/000119312520041903/d888744dex31.htm" TargetMode="External"/><Relationship Id="rId201" Type="http://schemas.openxmlformats.org/officeDocument/2006/relationships/hyperlink" Target="https://www.sec.gov/Archives/edgar/data/1404281/000119312520246314/d26397dex31.htm" TargetMode="External"/><Relationship Id="rId202" Type="http://schemas.openxmlformats.org/officeDocument/2006/relationships/hyperlink" Target="https://www.sec.gov/Archives/edgar/data/1404281/000110465921000921/tm211620d1_ex3-2.htm" TargetMode="External"/><Relationship Id="rId203" Type="http://schemas.openxmlformats.org/officeDocument/2006/relationships/hyperlink" Target="https://www.sec.gov/Archives/edgar/data/1404281/000119312526000968/eldn-202512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2026-05-13T15:40:19Z</dcterms:created>
  <dcterms:modified xsi:type="dcterms:W3CDTF">2026-05-13T15:40:19Z</dcterms:modified>
</cp:coreProperties>
</file>