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eldn-20260630.htm"/>
        <w:bookmarkStart w:id="1" w:name="kseldn20260630"/>
        <w:bookmarkEnd w:id="0"/>
        <w:bookmarkEnd w:id="1"/>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6"/>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001-36620</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20-1000967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19800 MacArthur Blvd.,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(949)</w:t>
      </w:r>
      <w:r>
        <w:rPr>
          <w:rFonts w:ascii="Times New Roman" w:hAnsi="Times New Roman"/>
          <w:color w:val="000000"/>
          <w:sz w:val="20"/>
        </w:rPr>
        <w:t xml:space="preserve"> </w:t>
      </w:r>
      <w:r>
        <w:rPr>
          <w:rFonts w:ascii="Times New Roman" w:hAnsi="Times New Roman"/>
          <w:b/>
          <w:color w:val="000000"/>
          <w:sz w:val="18"/>
        </w:rPr>
        <w:t>238-8090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2506"/>
        <w:gridCol w:w="146"/>
        <w:gridCol w:w="82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ELDN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w:t>
      </w:r>
      <w:r>
        <w:rPr>
          <w:rFonts w:ascii="Times New Roman" w:hAnsi="Times New Roman"/>
          <w:color w:val="000000"/>
          <w:sz w:val="20"/>
        </w:rPr>
        <w:t xml:space="preserve"> ☐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w:t>
      </w:r>
      <w:r>
        <w:rPr>
          <w:rFonts w:ascii="Times New Roman" w:hAnsi="Times New Roman"/>
          <w:color w:val="000000"/>
          <w:sz w:val="20"/>
        </w:rPr>
        <w:t xml:space="preserve"> ☐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olor w:val="000000"/>
          <w:sz w:val="20"/>
        </w:rPr>
        <w:t xml:space="preserve">☐ </w:t>
      </w:r>
      <w:r>
        <w:rPr>
          <w:rFonts w:ascii="Times New Roman" w:hAnsi="Times New Roman"/>
          <w:color w:val="000000"/>
          <w:sz w:val="18"/>
        </w:rPr>
        <w:t xml:space="preserve">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10, 2026 there were 81,261,152</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as defined by the Private Securities Litigation Reform Act of 1995, which statements involve substantial risks and uncertainties. Any statements other than statements of historical or current fact in this Quarterly Report on Form 10-Q are forward-looking statements. In some instances, you can identify forward-looking statements by the use of words such as “believes,” “anticipates,” “plans,” “expects,” “estimates,” “intends,” “predicts,” “projects,” “targets,” “could,” “may,” “will,” and similar expressions, although not all forward-looking statements include such identifying words. Forward-looking statements include, but are not limited to statements regarding: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development plans, expectations for and the timing of commencement, enrollment, completion, data, and release of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uses and efficacies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our liquidity,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with respect to our preclinical and clinical development programs, including our expectations regarding the production of clinical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strategy and timing to obtain and maintain regulatory approvals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competitive conditions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about our future financial performance or condition.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Although we believe that we have a reasonable basis for each forward-looking statement contained in this Quarterly Report on Form 10-Q, actual results may differ materially from those indicated by such forward-looking statements as a result of various factors, including the factors listed under “Risk Factor Summary” below. These risks and uncertainties, as well as other risks and uncertainties that could cause the Company’s actual results to differ significantly from the forward-looking statements contained herein, are described in greater detail in Part II, Item 1A. </w:t>
      </w:r>
      <w:r>
        <w:rPr>
          <w:rFonts w:ascii="Times New Roman" w:hAnsi="Times New Roman"/>
          <w:i/>
          <w:color w:val="000000"/>
          <w:sz w:val="20"/>
        </w:rPr>
        <w:t>Risk Factors</w:t>
      </w:r>
      <w:r>
        <w:rPr>
          <w:rFonts w:ascii="Times New Roman" w:hAnsi="Times New Roman"/>
          <w:color w:val="000000"/>
          <w:sz w:val="20"/>
        </w:rPr>
        <w:t xml:space="preserv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contained in this Quarterly Report on Form 10-Q are based on our current beliefs, assumptions, expectations, estimates and projections, which may be impacted by known or unknown factors. Any forward-looking statements contained in this Quarterly Report on Form 10-Q speak only as of the date hereof and not as of any future date, and the Company expressly disclaims any intent to update any forward-looking statements, whether as a result of new information, future events or otherwise. You are therefore cautioned not to place undue reliance on the forward-looking statements included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data and certain other statistical information used in this Quarterly Report on Form 10-Q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summarizes the principal factors that make an investment in the Company speculative or risky, all of which are more fully described in Part II, Item 1A. </w:t>
      </w:r>
      <w:r>
        <w:rPr>
          <w:rFonts w:ascii="Times New Roman" w:hAnsi="Times New Roman"/>
          <w:i/>
          <w:color w:val="000000"/>
          <w:sz w:val="20"/>
        </w:rPr>
        <w:t>Risk Factors</w:t>
      </w:r>
      <w:r>
        <w:rPr>
          <w:rFonts w:ascii="Times New Roman" w:hAnsi="Times New Roman"/>
          <w:color w:val="000000"/>
          <w:sz w:val="20"/>
        </w:rPr>
        <w:t xml:space="preserve"> in this Quarterly Report on Form 10-Q.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short operating history and shifts in our business strategy may make it difficult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raises substantial doubt as to our ability to continue as a going concern if we are unable to raise additional financing to fund our operations. If we become unable to continue as a going concern, we may have to liquidate our assets and the values we receive for our assets in liquidation or dissolution could be significantly lower than the values reflected in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and expect that we will continue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funding to be able to complete the development of our lead drug candidate. If we are unable to raise such capital, or if we are unable to do so on acceptable terms, we will be forced to significantly alter our business strategy, substantially curtail our current operations, or liquidate and cease operations altogether.</w:t>
      </w:r>
    </w:p>
    <w:p>
      <w:pPr>
        <w:pStyle w:val="TextBody"/>
        <w:bidi w:val="0"/>
        <w:spacing w:before="120" w:after="283"/>
        <w:jc w:val="left"/>
        <w:rPr>
          <w:color w:val="080808"/>
        </w:rPr>
      </w:pPr>
      <w:r>
        <w:rPr>
          <w:color w:val="080808"/>
        </w:rPr>
        <w: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pStyle w:val="TextBody"/>
        <w:bidi w:val="0"/>
        <w:spacing w:before="120" w:after="283"/>
        <w:jc w:val="left"/>
        <w:rPr>
          <w:color w:val="080808"/>
        </w:rPr>
      </w:pPr>
      <w:r>
        <w:rPr>
          <w:color w:val="080808"/>
        </w:rPr>
        <w: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Public health crises, including pandemics or epidemics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conditions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conditions in the financial markets, including bank failures, could adversely affect our liquidity and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involves a lengthy and expensive process with an uncertain outcome, including failure to demonstrate safety and efficacy to the satisfaction of the U.S. Food and Drug Administration (“FDA”) or similar regulatory authorities outside the United States. We may incur additional costs or experience delays in completing, or ultimately be unable to complete, the development, formulation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non-clinical studies and early clinical trials of our product candidates may not be predictive of the results of later-stage clinical trials, and there is a risk that additional non-clinical and/or clinical safety studies will be required by the FDA or similar regulatory authorities outside the United States or that subsequent studies will not match results seen in prior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enrollment of patients in clinical trials could delay or prevent our receipt of necessary regulatory approvals and increase expenses for the development of our product candidates.</w:t>
      </w:r>
    </w:p>
    <w:p>
      <w:pPr>
        <w:pStyle w:val="TextBody"/>
        <w:bidi w:val="0"/>
        <w:spacing w:before="120" w:after="283"/>
        <w:jc w:val="left"/>
        <w:rPr>
          <w:color w:val="080808"/>
        </w:rPr>
      </w:pPr>
      <w:r>
        <w:rPr>
          <w:color w:val="080808"/>
        </w:rPr>
        <w: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Our ability to conduct clinical trials in some jurisdictions outside of the United States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severe adverse events or unacceptable side effects are identified during the development of our product candidates, we may need to abandon or limit our development of some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executives and key employees and to attract, retain and motivate qualified personnel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regulating the pharmaceutical and healthcare industries may increase the difficulty and cost for us to obtain marketing approval of and commercialize our product candidates and affect the prices we may obtain.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systems, or those of our third-party collaborators, service providers, contractors or consultants, may fail or suffer security breaches, disruptions, or incidents, which could result in a material disruption of our development programs or loss of data and have a material adverse effect on our reputation,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compromise of privacy, security, integrity or confidentiality of sensitive information related to our business or failure to comply with confidentiality and data privacy obligations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receives marketing approval, we may fail to achieve the degree of market acceptance by physicians, patients, third-party payers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current product candidates, or a future product candidate receives marketing approval and we, or others, later discover that the product is less effective than previously believed or causes undesirable side effects that were not previously identified, our ability to market the product could be compromised.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contract research organizations (“CROs”) and other contracted third parties to perform non-clinical and clinical testing and certain other research and development activities. As a result, the outcomes of the activities performed by these organizations will be, to a certain extent,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stock price could be volatile, and the market price of our common stock may drop</w:t>
      </w:r>
      <w:r>
        <w:rPr>
          <w:color w:val="000000"/>
        </w:rPr>
        <w:t xml:space="preserve"> </w:t>
      </w:r>
      <w:r>
        <w:rPr>
          <w:rFonts w:ascii="Times New Roman" w:hAnsi="Times New Roman"/>
          <w:color w:val="000000"/>
          <w:sz w:val="20"/>
        </w:rPr>
        <w:t>unexpectedly.</w:t>
      </w:r>
    </w:p>
    <w:p>
      <w:pPr>
        <w:pStyle w:val="TextBody"/>
        <w:bidi w:val="0"/>
        <w:spacing w:before="120" w:after="283"/>
        <w:jc w:val="left"/>
        <w:rPr>
          <w:color w:val="080808"/>
        </w:rPr>
      </w:pPr>
      <w:r>
        <w:rPr>
          <w:color w:val="080808"/>
        </w:rPr>
        <w: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If we fail to maintain effective internal controls, we may conclude that our internal control over financial reporting is not effective, which could adversely affect our ability to report our results of operations and financial condition accurately and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corporate charter and under Delaware law could make an acquisition of the Company more difficult and may prevent attempts by our stockholders to replace or remove our current management.</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WEBSITE REFERENCES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this Quarterly Report on Form 10-Q, we make references to our website at </w:t>
      </w:r>
      <w:r>
        <w:rPr>
          <w:rFonts w:ascii="Times New Roman" w:hAnsi="Times New Roman"/>
          <w:i/>
          <w:color w:val="000000"/>
          <w:sz w:val="20"/>
        </w:rPr>
        <w:t>www.eledon.com</w:t>
      </w:r>
      <w:r>
        <w:rPr>
          <w:rFonts w:ascii="Times New Roman" w:hAnsi="Times New Roman"/>
          <w:color w:val="000000"/>
          <w:sz w:val="20"/>
        </w:rPr>
        <w:t>. References to our website through this Form 10-Q are provided for convenience only and the content on our website does not constitute a part of, and shall not be deemed incorporated by reference into,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ELEDON PHARMACEUTICALS, INC.</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17"/>
        <w:gridCol w:w="7930"/>
        <w:gridCol w:w="506"/>
        <w:gridCol w:w="752"/>
      </w:tblGrid>
      <w:tr>
        <w:trPr/>
        <w:tc>
          <w:tcPr>
            <w:tcW w:w="1017" w:type="dxa"/>
            <w:tcBorders/>
            <w:vAlign w:val="center"/>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930"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u w:val="single"/>
                </w:rPr>
                <w:t>FINANCIAL INFORMATION</w:t>
              </w:r>
            </w:hyperlink>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_financial_statements_unaudited">
              <w:r>
                <w:rPr>
                  <w:rStyle w:val="InternetLink"/>
                  <w:rFonts w:ascii="Times New Roman" w:hAnsi="Times New Roman"/>
                  <w:color w:val="000000"/>
                  <w:sz w:val="20"/>
                  <w:u w:val="single"/>
                </w:rPr>
                <w:t>Financial Statements - Unaudited</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balance_sheets">
              <w:r>
                <w:rPr>
                  <w:rStyle w:val="InternetLink"/>
                  <w:rFonts w:ascii="Times New Roman" w:hAnsi="Times New Roman"/>
                  <w:color w:val="000000"/>
                  <w:sz w:val="20"/>
                  <w:u w:val="single"/>
                </w:rPr>
                <w:t>Condensed Consolidated Balance Sheets as of June 30, 2026 and December 31, 2025</w:t>
              </w:r>
            </w:hyperlink>
            <w:hyperlink w:anchor="condensed_consolidated_balance_sheets">
              <w:r>
                <w:rPr>
                  <w:rStyle w:val="InternetLink"/>
                  <w:rFonts w:ascii="Times New Roman" w:hAnsi="Times New Roman"/>
                  <w:color w:val="000000"/>
                  <w:sz w:val="20"/>
                </w:rPr>
                <w:t xml:space="preserve"> </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operat">
              <w:r>
                <w:rPr>
                  <w:rStyle w:val="InternetLink"/>
                  <w:rFonts w:ascii="Times New Roman" w:hAnsi="Times New Roman"/>
                  <w:color w:val="000000"/>
                  <w:sz w:val="20"/>
                  <w:u w:val="single"/>
                </w:rPr>
                <w:t>Condensed Consolidated Statements of Operations and Comprehensive Loss for the Three and Six Months Ended June 30, 2026 and 2025</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7</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ock_equity">
              <w:r>
                <w:rPr>
                  <w:rStyle w:val="InternetLink"/>
                  <w:rFonts w:ascii="Times New Roman" w:hAnsi="Times New Roman"/>
                  <w:color w:val="000000"/>
                  <w:sz w:val="20"/>
                  <w:u w:val="single"/>
                </w:rPr>
                <w:t>Condensed Consolidated Statements of Convertible Preferred Stock and Stockholders’ Equity for the Three and Six Months Ended June 30, 2026 and 2025</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8</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cash_f">
              <w:r>
                <w:rPr>
                  <w:rStyle w:val="InternetLink"/>
                  <w:rFonts w:ascii="Times New Roman" w:hAnsi="Times New Roman"/>
                  <w:color w:val="000000"/>
                  <w:sz w:val="20"/>
                  <w:u w:val="single"/>
                </w:rPr>
                <w:t>Condensed Consolidated Statements of Cash Flows for the Six Months Ended June 30, 2026 and 2025</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930"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notes_to_condensed_consolidated_financia">
              <w:r>
                <w:rPr>
                  <w:rStyle w:val="InternetLink"/>
                  <w:rFonts w:ascii="Times New Roman" w:hAnsi="Times New Roman"/>
                  <w:color w:val="000000"/>
                  <w:sz w:val="20"/>
                  <w:u w:val="single"/>
                </w:rPr>
                <w:t>Notes to Condensed Consolidated Financial Statements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11</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item_2_managements_discussion_analysis_f">
              <w:r>
                <w:rPr>
                  <w:rStyle w:val="InternetLink"/>
                  <w:rFonts w:ascii="Times New Roman" w:hAnsi="Times New Roman"/>
                  <w:color w:val="000000"/>
                  <w:sz w:val="20"/>
                  <w:u w:val="single"/>
                </w:rPr>
                <w:t>Management’s Discussion and Analysis of Financial Condition and Results of Operations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27</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item_3_quantitative_qualitative_disclosu">
              <w:r>
                <w:rPr>
                  <w:rStyle w:val="InternetLink"/>
                  <w:rFonts w:ascii="Times New Roman" w:hAnsi="Times New Roman"/>
                  <w:color w:val="000000"/>
                  <w:sz w:val="20"/>
                  <w:u w:val="single"/>
                </w:rPr>
                <w:t>Quantitative and Qualitative Disclosures About Market Risk</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43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item_4_controls_procedures">
              <w:r>
                <w:rPr>
                  <w:rStyle w:val="InternetLink"/>
                  <w:rFonts w:ascii="Times New Roman" w:hAnsi="Times New Roman"/>
                  <w:color w:val="000000"/>
                  <w:sz w:val="20"/>
                  <w:u w:val="single"/>
                </w:rPr>
                <w:t>Controls and Procedures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43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r_information">
              <w:r>
                <w:rPr>
                  <w:rStyle w:val="InternetLink"/>
                  <w:rFonts w:ascii="Times New Roman" w:hAnsi="Times New Roman"/>
                  <w:b/>
                  <w:color w:val="000000"/>
                  <w:sz w:val="20"/>
                  <w:u w:val="single"/>
                </w:rPr>
                <w:t>OTHER INFORMATION</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2_item_1_legal_proceedings">
              <w:r>
                <w:rPr>
                  <w:rStyle w:val="InternetLink"/>
                  <w:rFonts w:ascii="Times New Roman" w:hAnsi="Times New Roman"/>
                  <w:color w:val="000000"/>
                  <w:sz w:val="20"/>
                  <w:u w:val="single"/>
                </w:rPr>
                <w:t>Legal Proceedings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44</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_2_item_1a_risk_factors">
              <w:r>
                <w:rPr>
                  <w:rStyle w:val="InternetLink"/>
                  <w:rFonts w:ascii="Times New Roman" w:hAnsi="Times New Roman"/>
                  <w:color w:val="000000"/>
                  <w:sz w:val="20"/>
                  <w:u w:val="single"/>
                </w:rPr>
                <w:t>Risk Factors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44</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_2_item_2_unregistered_sale_equity">
              <w:r>
                <w:rPr>
                  <w:rStyle w:val="InternetLink"/>
                  <w:rFonts w:ascii="Times New Roman" w:hAnsi="Times New Roman"/>
                  <w:color w:val="000000"/>
                  <w:sz w:val="20"/>
                  <w:u w:val="single"/>
                </w:rPr>
                <w:t>Unregistered Sales of Equity Securities and Use of Proceeds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66</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_2_item_3_defaults">
              <w:r>
                <w:rPr>
                  <w:rStyle w:val="InternetLink"/>
                  <w:rFonts w:ascii="Times New Roman" w:hAnsi="Times New Roman"/>
                  <w:color w:val="000000"/>
                  <w:sz w:val="20"/>
                  <w:u w:val="single"/>
                </w:rPr>
                <w:t>Defaults Upon Senior Securities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66</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_2_item_4_mine_safety">
              <w:r>
                <w:rPr>
                  <w:rStyle w:val="InternetLink"/>
                  <w:rFonts w:ascii="Times New Roman" w:hAnsi="Times New Roman"/>
                  <w:color w:val="000000"/>
                  <w:sz w:val="20"/>
                  <w:u w:val="single"/>
                </w:rPr>
                <w:t>Mine Safety Disclosures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67</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part_2_item_5_other_information">
              <w:r>
                <w:rPr>
                  <w:rStyle w:val="InternetLink"/>
                  <w:rFonts w:ascii="Times New Roman" w:hAnsi="Times New Roman"/>
                  <w:color w:val="000000"/>
                  <w:sz w:val="20"/>
                  <w:u w:val="single"/>
                </w:rPr>
                <w:t>Other Information</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67</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930" w:type="dxa"/>
            <w:tcBorders/>
            <w:tcMar>
              <w:top w:w="0" w:type="dxa"/>
              <w:left w:w="0" w:type="dxa"/>
              <w:bottom w:w="0" w:type="dxa"/>
              <w:right w:w="0" w:type="dxa"/>
            </w:tcMar>
            <w:vAlign w:val="center"/>
          </w:tcPr>
          <w:p>
            <w:pPr>
              <w:pStyle w:val="TableContents"/>
              <w:bidi w:val="0"/>
              <w:spacing w:before="0" w:after="283"/>
              <w:ind w:left="0" w:right="0" w:firstLine="263"/>
              <w:jc w:val="left"/>
              <w:rPr/>
            </w:pPr>
            <w:hyperlink w:anchor="item_6_exhibits">
              <w:r>
                <w:rPr>
                  <w:rStyle w:val="InternetLink"/>
                  <w:rFonts w:ascii="Times New Roman" w:hAnsi="Times New Roman"/>
                  <w:color w:val="000000"/>
                  <w:sz w:val="20"/>
                  <w:u w:val="single"/>
                </w:rPr>
                <w:t>Exhibits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68</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93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00"/>
                  <w:sz w:val="20"/>
                  <w:u w:val="single"/>
                </w:rPr>
                <w:t>Signatures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263"/>
              <w:jc w:val="righ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6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Financial Statements - Unaudited</w:t>
      </w:r>
    </w:p>
    <w:p>
      <w:pPr>
        <w:pStyle w:val="TextBody"/>
        <w:bidi w:val="0"/>
        <w:spacing w:before="240" w:after="283"/>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39"/>
        <w:gridCol w:w="146"/>
        <w:gridCol w:w="211"/>
        <w:gridCol w:w="841"/>
        <w:gridCol w:w="166"/>
        <w:gridCol w:w="146"/>
        <w:gridCol w:w="213"/>
        <w:gridCol w:w="851"/>
        <w:gridCol w:w="392"/>
      </w:tblGrid>
      <w:tr>
        <w:trPr/>
        <w:tc>
          <w:tcPr>
            <w:tcW w:w="7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5,000,000 shares authorized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X non-voting convertible preferred stock, $0.001 par value, 10,000 shares designated; 4,422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Series X</w:t>
            </w:r>
            <w:r>
              <w:rPr>
                <w:rFonts w:ascii="Times New Roman" w:hAnsi="Times New Roman"/>
                <w:color w:val="000000"/>
                <w:sz w:val="13"/>
              </w:rPr>
              <w:t>1</w:t>
            </w:r>
            <w:r>
              <w:rPr>
                <w:rFonts w:ascii="Times New Roman" w:hAnsi="Times New Roman"/>
                <w:color w:val="000000"/>
                <w:sz w:val="20"/>
              </w:rPr>
              <w:t> non-voting convertible preferred stock, $0.001 par value, 515,000 shares designated; 75,800 and 110,086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450,000,000 shares authorized at June 30, 2026 and 300,000,000 shares authorized at December 31, 2025; 80,891,404 and 75,430,033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482,189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(401,203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operat"/>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4"/>
        <w:gridCol w:w="146"/>
        <w:gridCol w:w="211"/>
        <w:gridCol w:w="1141"/>
        <w:gridCol w:w="166"/>
        <w:gridCol w:w="146"/>
        <w:gridCol w:w="211"/>
        <w:gridCol w:w="1036"/>
        <w:gridCol w:w="166"/>
        <w:gridCol w:w="146"/>
        <w:gridCol w:w="211"/>
        <w:gridCol w:w="1141"/>
        <w:gridCol w:w="166"/>
        <w:gridCol w:w="146"/>
        <w:gridCol w:w="211"/>
        <w:gridCol w:w="1036"/>
        <w:gridCol w:w="391"/>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113,631,565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77,156,068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77,141,196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ock_equity"/>
      <w:bookmarkEnd w:id="7"/>
      <w:r>
        <w:rPr>
          <w:rFonts w:ascii="Times New Roman" w:hAnsi="Times New Roman"/>
          <w:b/>
          <w:color w:val="000000"/>
          <w:sz w:val="20"/>
        </w:rPr>
        <w:t>CONDENSED CONSOLIDATED STATEMENTS OF CONVERTIBLE PREFERRED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12909" w:type="dxa"/>
        <w:jc w:val="left"/>
        <w:tblInd w:w="0" w:type="dxa"/>
        <w:tblLayout w:type="fixed"/>
        <w:tblCellMar>
          <w:top w:w="28" w:type="dxa"/>
          <w:left w:w="28" w:type="dxa"/>
          <w:bottom w:w="28" w:type="dxa"/>
          <w:right w:w="28" w:type="dxa"/>
        </w:tblCellMar>
      </w:tblPr>
      <w:tblGrid>
        <w:gridCol w:w="1371"/>
        <w:gridCol w:w="146"/>
        <w:gridCol w:w="146"/>
        <w:gridCol w:w="511"/>
        <w:gridCol w:w="146"/>
        <w:gridCol w:w="146"/>
        <w:gridCol w:w="196"/>
        <w:gridCol w:w="511"/>
        <w:gridCol w:w="146"/>
        <w:gridCol w:w="146"/>
        <w:gridCol w:w="146"/>
        <w:gridCol w:w="691"/>
        <w:gridCol w:w="166"/>
        <w:gridCol w:w="146"/>
        <w:gridCol w:w="196"/>
        <w:gridCol w:w="661"/>
        <w:gridCol w:w="166"/>
        <w:gridCol w:w="146"/>
        <w:gridCol w:w="146"/>
        <w:gridCol w:w="916"/>
        <w:gridCol w:w="146"/>
        <w:gridCol w:w="146"/>
        <w:gridCol w:w="213"/>
        <w:gridCol w:w="313"/>
        <w:gridCol w:w="146"/>
        <w:gridCol w:w="146"/>
        <w:gridCol w:w="196"/>
        <w:gridCol w:w="691"/>
        <w:gridCol w:w="166"/>
        <w:gridCol w:w="146"/>
        <w:gridCol w:w="284"/>
        <w:gridCol w:w="632"/>
        <w:gridCol w:w="166"/>
        <w:gridCol w:w="146"/>
        <w:gridCol w:w="196"/>
        <w:gridCol w:w="751"/>
        <w:gridCol w:w="166"/>
        <w:gridCol w:w="146"/>
        <w:gridCol w:w="196"/>
        <w:gridCol w:w="66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X Non-Voting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Series X</w:t>
            </w:r>
            <w:r>
              <w:rPr>
                <w:rFonts w:ascii="Times New Roman" w:hAnsi="Times New Roman"/>
                <w:b/>
                <w:color w:val="000000"/>
                <w:sz w:val="8"/>
              </w:rPr>
              <w:t xml:space="preserve">1 </w:t>
            </w:r>
            <w:r>
              <w:rPr>
                <w:rFonts w:ascii="Times New Roman" w:hAnsi="Times New Roman"/>
                <w:b/>
                <w:color w:val="000000"/>
                <w:sz w:val="12"/>
              </w:rPr>
              <w:t>Non-Voting Convertible Preferred Stock</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53,543</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75,430,033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in connection with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in settlement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53,543</w:t>
            </w:r>
          </w:p>
        </w:tc>
        <w:tc>
          <w:tcPr>
            <w:tcW w:w="16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75,851,722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option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in connection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Conversion of Series X</w:t>
            </w:r>
            <w:r>
              <w:rPr>
                <w:rFonts w:ascii="Times New Roman" w:hAnsi="Times New Roman"/>
                <w:color w:val="000000"/>
                <w:sz w:val="11"/>
              </w:rPr>
              <w:t>1</w:t>
            </w:r>
            <w:r>
              <w:rPr>
                <w:rFonts w:ascii="Times New Roman" w:hAnsi="Times New Roman"/>
                <w:color w:val="000000"/>
                <w:sz w:val="16"/>
              </w:rPr>
              <w:t>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Pre-funded Warrants Exercise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36,867</w:t>
            </w:r>
          </w:p>
        </w:tc>
        <w:tc>
          <w:tcPr>
            <w:tcW w:w="16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80,891,404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2789" w:type="dxa"/>
        <w:jc w:val="left"/>
        <w:tblInd w:w="0" w:type="dxa"/>
        <w:tblLayout w:type="fixed"/>
        <w:tblCellMar>
          <w:top w:w="28" w:type="dxa"/>
          <w:left w:w="28" w:type="dxa"/>
          <w:bottom w:w="28" w:type="dxa"/>
          <w:right w:w="28" w:type="dxa"/>
        </w:tblCellMar>
      </w:tblPr>
      <w:tblGrid>
        <w:gridCol w:w="1371"/>
        <w:gridCol w:w="146"/>
        <w:gridCol w:w="146"/>
        <w:gridCol w:w="511"/>
        <w:gridCol w:w="146"/>
        <w:gridCol w:w="146"/>
        <w:gridCol w:w="196"/>
        <w:gridCol w:w="511"/>
        <w:gridCol w:w="146"/>
        <w:gridCol w:w="146"/>
        <w:gridCol w:w="146"/>
        <w:gridCol w:w="691"/>
        <w:gridCol w:w="146"/>
        <w:gridCol w:w="146"/>
        <w:gridCol w:w="196"/>
        <w:gridCol w:w="601"/>
        <w:gridCol w:w="146"/>
        <w:gridCol w:w="146"/>
        <w:gridCol w:w="146"/>
        <w:gridCol w:w="916"/>
        <w:gridCol w:w="146"/>
        <w:gridCol w:w="146"/>
        <w:gridCol w:w="213"/>
        <w:gridCol w:w="313"/>
        <w:gridCol w:w="146"/>
        <w:gridCol w:w="146"/>
        <w:gridCol w:w="196"/>
        <w:gridCol w:w="691"/>
        <w:gridCol w:w="146"/>
        <w:gridCol w:w="146"/>
        <w:gridCol w:w="331"/>
        <w:gridCol w:w="585"/>
        <w:gridCol w:w="166"/>
        <w:gridCol w:w="146"/>
        <w:gridCol w:w="196"/>
        <w:gridCol w:w="751"/>
        <w:gridCol w:w="166"/>
        <w:gridCol w:w="146"/>
        <w:gridCol w:w="196"/>
        <w:gridCol w:w="66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Convertible 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X Non-Voting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Series X</w:t>
            </w:r>
            <w:r>
              <w:rPr>
                <w:rFonts w:ascii="Times New Roman" w:hAnsi="Times New Roman"/>
                <w:b/>
                <w:color w:val="000000"/>
                <w:sz w:val="8"/>
              </w:rPr>
              <w:t xml:space="preserve">1 </w:t>
            </w:r>
            <w:r>
              <w:rPr>
                <w:rFonts w:ascii="Times New Roman" w:hAnsi="Times New Roman"/>
                <w:b/>
                <w:color w:val="000000"/>
                <w:sz w:val="12"/>
              </w:rPr>
              <w:t>Non-Voting Convertible 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59,789,275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in connection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option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53,543</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53,543</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50,334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investment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available-for-sale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available-for-sale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settlement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Cashless conversion of Series X</w:t>
            </w:r>
            <w:r>
              <w:rPr>
                <w:rFonts w:ascii="Times New Roman" w:hAnsi="Times New Roman"/>
                <w:color w:val="000000"/>
                <w:sz w:val="13"/>
              </w:rPr>
              <w:t>1</w:t>
            </w:r>
            <w:r>
              <w:rPr>
                <w:rFonts w:ascii="Times New Roman" w:hAnsi="Times New Roman"/>
                <w:color w:val="000000"/>
                <w:sz w:val="20"/>
              </w:rPr>
              <w:t> non-voting convertible preferred stock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Eledon Pharmaceuticals, Inc. is a clinical stage biotechnology company using its immunology expertise in targeting the CD40 Ligand (“CD40L”) pathway to develop therapies to protect transplanted organs and prevent rejection, and to treat amyotrophic lateral sclerosis (“ALS”). The Company’s lead compound in development is tegoprubart, an IgG1, anti-CD40L antibody with high affinity for the CD40L, a well-validated biological target that we believe has broad therapeutic potential. Unless otherwise indicated, references to the terms “Eledon,” “our,” “us,” “we,” or the “Company” refer to Eledon Pharmaceuticals, Inc. and its wholly owned subsidiaries,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14, 2020, Eledon acquired Anelixis Therapeutics, Inc. (“Anelixis”), a privately held clinical stage biotechnology company developing a next generation anti-CD40L antibody as a potential treatment for organ and cellular transplantation, autoimmune diseases, and neurodegenerative diseases. The Company maintains its corporate headquarters in Irvine, California and has research and development facilities in Burlington, Massachusetts.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(“GAAP”) and Article 8 of Regulation S-X requirements as set forth by the Securities and Exchange Commission (“SEC”) for interim financial information and reflect all adjustments and disclosures, which are, in the opinion of management, of a normal and recurring nature, and considered necessary for a fair presentation of the financial information contained herein. Pursuant to these rules and regulations, the unaudited condensed consolidated financial statements do not include all information and notes necessary for a complete presentation of results of operations and comprehensive loss, financial position, and cash flows in conformity with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and notes should be read in conjunction with the audited consolidated financial statements and accompanying notes of Eledon for the year ended December 31, 2025 included in the Company’s Annual Report on Form 10-K filed by the Company with the SEC on March 19, 2026. The results of operations and comprehensive loss for the three and six months ended June 30, 2026 are not necessarily indicative of results expected for the full fiscal year or any other future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Eledon, a Delaware corporation, owns 100% of the issued and outstanding common stock or other ownership interest in Anelixis Therapeutics, LLC, a Delaware limited liability company, and Otic Pharma, Ltd., a private limited company organized under the laws of the State of Israel (“Otic”). Otic owns 100% of the issued and outstanding common stock or other ownership interest in its U.S. subsidiary, Otic Pharma,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intercompany accounts and transactions among the entities have been eliminated from the unaudited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consolidated financial statements and accompanying notes. The most significant estimates in the Company’s consolidated financial statements relate to stock-based compensation expense, warrant liabilities, the fair value of right-of-use (“ROU”) assets and liabilities, accruals for liabilities, impairment of long-lived assets, and other matters that affect the consolidated financial statements and related disclosures. Management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bases its estimates on historical experience and on various other market-specific and relevant assumptions that management believes to be reasonable under the circumstances. Actual results could differ materially from those estimates under different assumptions or conditions and the differences may be material to the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consists of cash, cash equivalents and short-term investments. The Company maintains deposits in federally insured institutions in excess of federally insured limits and invests in short-term investments with the primary objective of seeking to preserve principal, achieve liquidity requirements and safeguard invested funds. We believe that the Company is not exposed to significant credit risk due to the financial position of the depository institution in which those deposits are held and the nature, including the credit ratings, of our cash equivalents and short-term investments, but we have not eliminated all credit risk.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when purchased to be cash equivalents. Cash and cash equivalents include cash in readily available checking accounts, money market funds, U.S. government securities and U.S. government agency securities. Cash and cash equivalents are valued at cost, which approximates their fair value due to the short-term maturities of these investments.</w:t>
      </w:r>
    </w:p>
    <w:p>
      <w:pPr>
        <w:pStyle w:val="TextBody"/>
        <w:bidi w:val="0"/>
        <w:spacing w:before="360" w:after="283"/>
        <w:jc w:val="left"/>
        <w:rPr>
          <w:rFonts w:ascii="Times New Roman" w:hAnsi="Times New Roman"/>
          <w:b/>
          <w:i/>
          <w:color w:val="080808"/>
          <w:sz w:val="20"/>
        </w:rPr>
      </w:pPr>
      <w:r>
        <w:rPr>
          <w:rFonts w:ascii="Times New Roman" w:hAnsi="Times New Roman"/>
          <w:b/>
          <w:i/>
          <w:color w:val="080808"/>
          <w:sz w:val="20"/>
        </w:rPr>
        <w:t>Risks, Liquidity, and Going Concern</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The accompanying condensed consolidated financial statements have been prepared assuming that the Company will continue as a going concern, which contemplates the realization of assets and satisfaction of liabilities in the normal course of business, and do not include any adjustments that might result from the outcome of this uncertainty.</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Since inception, the Company has devoted substantially all of its resources to research and development activities, including pre-clinical studies and clinical trials, establishing and maintaining its intellectual property portfolio, hiring personnel, raising capital, and providing general and administrative support for these operations. The Company has incurred recurring net losses and negative cash flows from operating activities since its inception and expects to continue to incur significant operating losses and negative cash flows from operations for the foreseeable future as it advances the clinical development of its product candidates.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The Company recorded a net loss of $70.7 million for the six months ended June 30, 2026. As of June 30, 2026, the Company had cash and cash equivalents and short-term investments of $88.8 million, working capital of $81.3 million and an accumulated deficit of $471.9 million. Based on the Company's current operating plan, the Company expects that, within the next twelve months, its existing cash, cash equivalents, short-term investments and other available resources will not be sufficient to fund its planned operations and satisfy its obligations as they become due unless it obtains additional financing. Based on these conditions and events that are known and reasonably knowable as of the date these condensed consolidated financial statements are issued, management has concluded that substantial doubt exists about the Company's ability to continue as a going concern.</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Accordingly, the Company intends to seek additional capital through public or private equity or debt financings, including through its at-the-market equity offering program, strategic collaborations, licensing arrangements, credit or loan facilities and other available sources. The Company's ability to obtain additional financing is dependent on a number of factors, including, but not limited to, market conditions, investor demand for the Company's common stock or other securities, the progress of its development programs and other business risks and uncertainties. There can be no assurance that additional financing will be available when needed or on terms acceptable to the Company.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Although management intends to obtain additional financing through the sources described above, these plans are subject to market conditions and other factors outside the Company's control. Accordingly, management has concluded that its plans do not alleviate the substantial doubt about the Company's ability to continue as a going concern.</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The accompanying condensed consolidated financial statements do not include any adjustments relating to the recoverability and classification of assets, or the amounts and classification of liabilities, or any other adjustments that might be necessary should the Company be unable to continue as a going concern.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80808"/>
          <w:sz w:val="20"/>
        </w:rPr>
      </w:pPr>
      <w:r>
        <w:rPr>
          <w:rFonts w:ascii="Times New Roman" w:hAnsi="Times New Roman"/>
          <w:b/>
          <w:i/>
          <w:color w:val="080808"/>
          <w:sz w:val="20"/>
        </w:rPr>
        <w:t>Reportable Segments</w:t>
      </w:r>
    </w:p>
    <w:p>
      <w:pPr>
        <w:pStyle w:val="TextBody"/>
        <w:bidi w:val="0"/>
        <w:spacing w:before="120" w:after="283"/>
        <w:jc w:val="left"/>
        <w:rPr>
          <w:rFonts w:ascii="Times New Roman" w:hAnsi="Times New Roman"/>
          <w:sz w:val="20"/>
        </w:rPr>
      </w:pPr>
      <w:r>
        <w:rPr>
          <w:rFonts w:ascii="Times New Roman" w:hAnsi="Times New Roman"/>
          <w:color w:val="080808"/>
          <w:sz w:val="20"/>
        </w:rPr>
        <w:t xml:space="preserve">Operating segments are defined as components of an entity for which separate financial information is available and that is regularly reviewed by the Chief Operating Decision Maker (“CODM”) in deciding how to allocate resources and in assessing performance. The Company operates as one operating and one reportable segment, focused on the development of tegoprubart, to develop therapies to protect transplanted organs and prevent rejection, and to treat ALS. </w:t>
      </w:r>
      <w:r>
        <w:rPr>
          <w:rFonts w:ascii="Times New Roman" w:hAnsi="Times New Roman"/>
          <w:color w:val="000000"/>
          <w:sz w:val="20"/>
        </w:rPr>
        <w:t>The Company’s measure of segment profit or loss is net loss. The CODM is the chief executive officer. The CODM manages and allocates resources to the operations of the Company on a total company basis. Managing and allocating resources on a consolidated basis enables the CODM to assess the overall level of resources available and how to best deploy these resources across functions, therapeutic areas and research and development projects that are in line with the Company’s long-term company wide strategic goals. Consistent with this decision-making process, the CODM uses consolidated net income (loss) for purposes of evaluating performance, forecasting future period financial results, allocating resources and setting incentive targets. Operating expenses are used to monitor budget versus actual results. The measure of segment assets is reported on the balance sheet as total consolidated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is representative of the significant expense categories regularly provided to the CODM when managing the Company’s single reporting segment. A reconciliation to the consolidated net loss for the three and six months ended June 30, 2026 and 2025 is included at the bottom of the table below (in thousands):</w:t>
      </w:r>
    </w:p>
    <w:tbl>
      <w:tblPr>
        <w:tblW w:w="9197" w:type="dxa"/>
        <w:jc w:val="left"/>
        <w:tblInd w:w="0" w:type="dxa"/>
        <w:tblLayout w:type="fixed"/>
        <w:tblCellMar>
          <w:top w:w="28" w:type="dxa"/>
          <w:left w:w="28" w:type="dxa"/>
          <w:bottom w:w="28" w:type="dxa"/>
          <w:right w:w="28" w:type="dxa"/>
        </w:tblCellMar>
      </w:tblPr>
      <w:tblGrid>
        <w:gridCol w:w="4016"/>
        <w:gridCol w:w="146"/>
        <w:gridCol w:w="211"/>
        <w:gridCol w:w="736"/>
        <w:gridCol w:w="166"/>
        <w:gridCol w:w="146"/>
        <w:gridCol w:w="211"/>
        <w:gridCol w:w="736"/>
        <w:gridCol w:w="166"/>
        <w:gridCol w:w="146"/>
        <w:gridCol w:w="211"/>
        <w:gridCol w:w="736"/>
        <w:gridCol w:w="166"/>
        <w:gridCol w:w="146"/>
        <w:gridCol w:w="211"/>
        <w:gridCol w:w="736"/>
        <w:gridCol w:w="31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Tegoprubart - kidney transplantation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Tegoprubart - 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Other segment items included in total operating expenses primarily consist of consulting, professional fees, facilities, insurance and information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In-Process Research and Development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Amounts allocated to in-process research and development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Company estimates its research and development expenses and the related accrual as of each balance sheet date based on the facts and circumstances known to the Company at that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all stock-based awards based on the grant-date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publicly traded biotechnology and pharmaceutical companies with comparable business characteristics, clinical stages of development, and organizational scale, including employee headcount, primarily consisting of companies with Phase II or Phase III clinical programs.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Company’s board of directors (the “Board”), the Company determined the expected life assumption using the simplified method as the starting point with an average period of 12 months added to take into account the extended range of time of 12 to 18 months that vested stock options granted to Board members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 (“RSUs”) are measured and recognized based on the quoted market price of our common stock on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retirement savings plan under Section 401(k) of the Internal Revenue Code covering all employees who meet eligibility requirements. Participants may contribute a portion of their compensation subject to IRS limitations. The Company provides matching contributions in accordance with the terms of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expense related to employer contributions to the plan of $0.1 million for each of the three months ended June 30, 2026 and 2025 and $0.3 million and $0.2 million for the six months ended June 30,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Basic and diluted net loss per share are calculated using the two-class method in accordance with Accounting Standards Codification (“ASC”) Topic 260, Earnings Per Share. The two-class method allocates undistributed losses to the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color w:val="000000"/>
          <w:sz w:val="20"/>
        </w:rPr>
        <w:t>Company’s outstanding common stock, and the Series X and Series X</w:t>
      </w:r>
      <w:r>
        <w:rPr>
          <w:rFonts w:ascii="Times New Roman" w:hAnsi="Times New Roman"/>
          <w:color w:val="000000"/>
          <w:sz w:val="13"/>
        </w:rPr>
        <w:t xml:space="preserve">1 </w:t>
      </w:r>
      <w:r>
        <w:rPr>
          <w:rFonts w:ascii="Times New Roman" w:hAnsi="Times New Roman"/>
          <w:color w:val="000000"/>
          <w:sz w:val="20"/>
        </w:rPr>
        <w:t>non-voting convertible preferred stock, $0.001 par value (the “Preferred Stock”), based on each class’s proportionate share of the total weighted-average shares outstanding. Since the Company has never declared dividends, net loss and undistributed losses are equivalent. The process is used for both common stock and Preferred Stock.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As the rights and preferences of the Preferred Stock are substantially identical to each other, they are considered a single class of common stock for earnings per share purposes.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issued common stock warrants and pre-funded warrants either as a liability or equity in accordance with ASC 480-10, Distinguishing Liabilities from Equity (“ASC 480-10”) and ASC 815-40, Derivatives and Hedging — Contracts in Entity’s Own Equity (“ASC 815-40”). The Company first evaluates the warrants under ASC 480-10 to determine whether the instruments should be classified as liabilities, including whether the warrants embody an obligation to repurchase the Company’s shares, require or may require cash settlement, or represent obligations to issue a variable number of shares with a monetary value that is fixed or indexed to something other than the Company’s stock. If liability classification is not required under ASC 480-10, the Company then applies ASC 815-40.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the consolidated statements of operations and comprehensive loss as a gain or loss. If warrants do not require liability classification under ASC 815-40, in order to conclude warrants should be classified as equity, the Company assesses whether the warrants are indexed to its common stock and whether the warrants are classified as equity under ASC 815-40 or other applicable GAAP standard. Equity-classified warrants are accounted for at fair value on the issuance date with no changes in fair value recognized after the issuance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 Issued But Not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Standards Update (“ASU”) No. 2024-03, “Income Statement—Reporting Comprehensive Income—Expense Disaggregation Disclosures (Subtopic 220-40) Disaggregation of Income Statement Expenses,” which requires disaggregated disclosure of income statement expenses for public business entities (“PBEs”). In January 2025, the FASB issued ASU No. 2025-01 “Income Statement—Reporting Comprehensive Income—Expense Disaggregation Disclosures (Subtopic 220-40),” which clarified the effective date for ASU 2024-03. These amendments are intended to provide more information about types of expenses in commonly presented expense captions. The amendments in this update are effective for annual periods beginning after December 15, 2026, and interim periods within fiscal years beginning after December 15, 2027, and early adoption is permitted. The Company is currently evaluating the impact on its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ASU 2025-07, Derivatives and Hedging (Topic 815) and Revenue from Contracts with Customers (Topic 606) (“ASU 2025-07”), which amends the accounting guidance to exclude from derivative accounting non-exchange-traded contracts with underlyings that are based on operations or activities specific to one of the parties to the contract. ASU 2025-07 is effective for fiscal years beginning after December 15, 2026, with early adoption permitted. The Company is currently evaluating the impact on its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 did not, or are not believed by management to, have a material impact on the Company’s present or future financial position, results of operations or cash flows.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Short-Term Investments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objectives of the Company’s investment policy are to preserve principal, meet the Company’s liquidity requirements and safeguard invested funds. Short-term investments consist of U.S. </w:t>
      </w:r>
      <w:r>
        <w:rPr>
          <w:rFonts w:ascii="Times New Roman" w:hAnsi="Times New Roman"/>
          <w:color w:val="080808"/>
          <w:sz w:val="20"/>
        </w:rPr>
        <w:t xml:space="preserve">treasuries </w:t>
      </w:r>
      <w:r>
        <w:rPr>
          <w:rFonts w:ascii="Times New Roman" w:hAnsi="Times New Roman"/>
          <w:color w:val="000000"/>
          <w:sz w:val="20"/>
        </w:rPr>
        <w:t>and U.S. government securities. The Company has classified these investments as available-for-sale securities, as the sale of such investments may be required prior to maturity to implement management strategies, and therefore has classified all investments with maturity dates beyond three months at the date of purchase as current assets in the accompanying unaudited condensed consolidated balance sheets. Any premium or discount arising at purchase is amortized and/or accreted to interest income as an adjustment to yield using the straight-line method over the life of the instrument. The amortized cost of available-for-sale securities is adjusted for amortization of premiums and accretion of discounts to maturity. Investments are reported at their estimated fair value. Unrealized gains and losses are included in accumulated other comprehensive loss as a component of stockholders' equity until realized.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summary of short-term investments, which were classified as available-for-sale securities as of June 30, 2026 and December 31, 2025 (in thousands):</w:t>
      </w:r>
    </w:p>
    <w:tbl>
      <w:tblPr>
        <w:tblW w:w="8646" w:type="dxa"/>
        <w:jc w:val="left"/>
        <w:tblInd w:w="0" w:type="dxa"/>
        <w:tblLayout w:type="fixed"/>
        <w:tblCellMar>
          <w:top w:w="28" w:type="dxa"/>
          <w:left w:w="28" w:type="dxa"/>
          <w:bottom w:w="28" w:type="dxa"/>
          <w:right w:w="28" w:type="dxa"/>
        </w:tblCellMar>
      </w:tblPr>
      <w:tblGrid>
        <w:gridCol w:w="2446"/>
        <w:gridCol w:w="146"/>
        <w:gridCol w:w="265"/>
        <w:gridCol w:w="980"/>
        <w:gridCol w:w="146"/>
        <w:gridCol w:w="146"/>
        <w:gridCol w:w="510"/>
        <w:gridCol w:w="840"/>
        <w:gridCol w:w="146"/>
        <w:gridCol w:w="146"/>
        <w:gridCol w:w="420"/>
        <w:gridCol w:w="960"/>
        <w:gridCol w:w="166"/>
        <w:gridCol w:w="146"/>
        <w:gridCol w:w="211"/>
        <w:gridCol w:w="78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available-for-sale securities have a stated maturity of less than one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liabilities are recorded at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fair value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1—Quoted market prices (unadjusted)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quoted market prices included in Level 1, such as quoted market prices for markets that are not active or other inputs that are observable or can be corroborated by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 These fair values are obtained from independent pricing services which utilize Level 1 and Level 2 inputs.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 instruments measured at fair value on a recurring basis as of June 30, 2026 and December 31, 2025 (in thousands). Included within cash and cash equivalents on the unaudited condensed consolidated balance sheets, but excluded from the fair value hierarchy table, are cash deposits held at financial institutions.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446"/>
        <w:gridCol w:w="146"/>
        <w:gridCol w:w="211"/>
        <w:gridCol w:w="571"/>
        <w:gridCol w:w="146"/>
        <w:gridCol w:w="146"/>
        <w:gridCol w:w="211"/>
        <w:gridCol w:w="676"/>
        <w:gridCol w:w="146"/>
        <w:gridCol w:w="146"/>
        <w:gridCol w:w="239"/>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86,097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tbl>
      <w:tblPr>
        <w:tblW w:w="7155" w:type="dxa"/>
        <w:jc w:val="left"/>
        <w:tblInd w:w="0" w:type="dxa"/>
        <w:tblLayout w:type="fixed"/>
        <w:tblCellMar>
          <w:top w:w="28" w:type="dxa"/>
          <w:left w:w="28" w:type="dxa"/>
          <w:bottom w:w="28" w:type="dxa"/>
          <w:right w:w="28" w:type="dxa"/>
        </w:tblCellMar>
      </w:tblPr>
      <w:tblGrid>
        <w:gridCol w:w="2446"/>
        <w:gridCol w:w="146"/>
        <w:gridCol w:w="211"/>
        <w:gridCol w:w="571"/>
        <w:gridCol w:w="146"/>
        <w:gridCol w:w="146"/>
        <w:gridCol w:w="211"/>
        <w:gridCol w:w="781"/>
        <w:gridCol w:w="146"/>
        <w:gridCol w:w="146"/>
        <w:gridCol w:w="239"/>
        <w:gridCol w:w="391"/>
        <w:gridCol w:w="146"/>
        <w:gridCol w:w="146"/>
        <w:gridCol w:w="211"/>
        <w:gridCol w:w="781"/>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The following table summarizes the Company’s warrant liabilities (see </w:t>
      </w:r>
      <w:r>
        <w:rPr>
          <w:rFonts w:ascii="Times New Roman" w:hAnsi="Times New Roman"/>
          <w:i/>
          <w:color w:val="000000"/>
          <w:sz w:val="20"/>
        </w:rPr>
        <w:t>Note 8. Preferred Stock and Stockholders’ Equity</w:t>
      </w:r>
      <w:r>
        <w:rPr>
          <w:rFonts w:ascii="Times New Roman" w:hAnsi="Times New Roman"/>
          <w:color w:val="000000"/>
          <w:sz w:val="20"/>
        </w:rPr>
        <w:t xml:space="preserve">) measured at fair value on a recurring basis as of June 30, 2026 and December 31, 2025 (in thousands) and was based on significant inputs not observable in the market, which represents a Level 3 measurement within the fair value hierarchy. </w:t>
      </w:r>
    </w:p>
    <w:tbl>
      <w:tblPr>
        <w:tblW w:w="6038" w:type="dxa"/>
        <w:jc w:val="left"/>
        <w:tblInd w:w="0" w:type="dxa"/>
        <w:tblLayout w:type="fixed"/>
        <w:tblCellMar>
          <w:top w:w="28" w:type="dxa"/>
          <w:left w:w="28" w:type="dxa"/>
          <w:bottom w:w="28" w:type="dxa"/>
          <w:right w:w="28" w:type="dxa"/>
        </w:tblCellMar>
      </w:tblPr>
      <w:tblGrid>
        <w:gridCol w:w="1691"/>
        <w:gridCol w:w="146"/>
        <w:gridCol w:w="239"/>
        <w:gridCol w:w="391"/>
        <w:gridCol w:w="146"/>
        <w:gridCol w:w="146"/>
        <w:gridCol w:w="239"/>
        <w:gridCol w:w="391"/>
        <w:gridCol w:w="146"/>
        <w:gridCol w:w="146"/>
        <w:gridCol w:w="211"/>
        <w:gridCol w:w="676"/>
        <w:gridCol w:w="146"/>
        <w:gridCol w:w="146"/>
        <w:gridCol w:w="211"/>
        <w:gridCol w:w="676"/>
        <w:gridCol w:w="29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tbl>
      <w:tblPr>
        <w:tblW w:w="6038" w:type="dxa"/>
        <w:jc w:val="left"/>
        <w:tblInd w:w="0" w:type="dxa"/>
        <w:tblLayout w:type="fixed"/>
        <w:tblCellMar>
          <w:top w:w="28" w:type="dxa"/>
          <w:left w:w="28" w:type="dxa"/>
          <w:bottom w:w="28" w:type="dxa"/>
          <w:right w:w="28" w:type="dxa"/>
        </w:tblCellMar>
      </w:tblPr>
      <w:tblGrid>
        <w:gridCol w:w="1691"/>
        <w:gridCol w:w="146"/>
        <w:gridCol w:w="239"/>
        <w:gridCol w:w="391"/>
        <w:gridCol w:w="146"/>
        <w:gridCol w:w="146"/>
        <w:gridCol w:w="239"/>
        <w:gridCol w:w="391"/>
        <w:gridCol w:w="146"/>
        <w:gridCol w:w="146"/>
        <w:gridCol w:w="211"/>
        <w:gridCol w:w="676"/>
        <w:gridCol w:w="146"/>
        <w:gridCol w:w="146"/>
        <w:gridCol w:w="211"/>
        <w:gridCol w:w="676"/>
        <w:gridCol w:w="29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following table provides a roll-forward of the aggregate fair value of the warrant liability categorized with Level 3 inputs (in thousands):</w:t>
      </w:r>
    </w:p>
    <w:tbl>
      <w:tblPr>
        <w:tblW w:w="5398" w:type="dxa"/>
        <w:jc w:val="left"/>
        <w:tblInd w:w="0" w:type="dxa"/>
        <w:tblLayout w:type="fixed"/>
        <w:tblCellMar>
          <w:top w:w="28" w:type="dxa"/>
          <w:left w:w="28" w:type="dxa"/>
          <w:bottom w:w="28" w:type="dxa"/>
          <w:right w:w="28" w:type="dxa"/>
        </w:tblCellMar>
      </w:tblPr>
      <w:tblGrid>
        <w:gridCol w:w="3551"/>
        <w:gridCol w:w="146"/>
        <w:gridCol w:w="335"/>
        <w:gridCol w:w="1075"/>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 in fair value of warrant liabilities of $28.6 million was recorded in the unaudited condensed consolidated statement of operations and comprehensive loss for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as of June 30, 2026 and December 31, 2025 (in thousands):</w:t>
      </w:r>
    </w:p>
    <w:p>
      <w:pPr>
        <w:pStyle w:val="TextBody"/>
        <w:bidi w:val="0"/>
        <w:jc w:val="left"/>
        <w:rPr/>
      </w:pPr>
      <w:r>
        <w:rPr/>
        <w:t> </w:t>
      </w:r>
    </w:p>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Accrued Expenses and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as of June 30, 2026 and December 31, 2025 (in thousands): </w:t>
      </w:r>
    </w:p>
    <w:tbl>
      <w:tblPr>
        <w:tblW w:w="6212" w:type="dxa"/>
        <w:jc w:val="left"/>
        <w:tblInd w:w="0" w:type="dxa"/>
        <w:tblLayout w:type="fixed"/>
        <w:tblCellMar>
          <w:top w:w="28" w:type="dxa"/>
          <w:left w:w="28" w:type="dxa"/>
          <w:bottom w:w="28" w:type="dxa"/>
          <w:right w:w="28" w:type="dxa"/>
        </w:tblCellMar>
      </w:tblPr>
      <w:tblGrid>
        <w:gridCol w:w="3706"/>
        <w:gridCol w:w="146"/>
        <w:gridCol w:w="211"/>
        <w:gridCol w:w="571"/>
        <w:gridCol w:w="146"/>
        <w:gridCol w:w="146"/>
        <w:gridCol w:w="260"/>
        <w:gridCol w:w="835"/>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non-cancelable purchase obligations related to manufacturing totaling $15.3 million. The Company expects to fulfill its commitments within the next twelve months under these agreements in the normal course of business, therefore, no related liability has been recorded on the unaudited condensed consolidated balance sheets as of that date.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under various operating leases. Total rent expense for all operating leases in the accompanying unaudited condensed consolidated statements of operations and comprehensive loss was $0.1 million for each of the three months ended June 30, 2026 and 2025 and $0.2 million for each of the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19, 2024, the Company entered into a 38-month operating lease for 5,817 square feet of office space in Irvine, California, that expires on June 30, 2027 (the “Irvine Lease Agreement”). On April 19, 2024, in conjunction with the Irvine Lease Agreement, the Company terminated an existing operating lease for 5,197 square feet of office space in Irvine, California, that was set to expire on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4, 2024, the Company entered into a 36-month operating lease for 6,138 square feet of office space in Burlington, Massachusetts, that expires on November 21, 2027 (the “Burlington Lease Agreement”). The prior lease expired on November 20, 2024. On November 21, 2024, the effective date of the Burlington Lease Agreement, the Company recognized additional net ROU assets and lease liabilities in the amount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 contract contains a lease at inception. Our office leases have a remaining term of approximately less than 1.3 years and do not include options to extend the leases for additional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leases contain rent escalations over the lease term. We recognize expense for these leases on a straight-line basis over the lease term. Additionally, tenant incentives used to fund leasehold improvements are recognized when earned and reduce our ROU asset related to the lease. These are amortized through the ROU asset as reductions of expense over the lease term. Our lease agreements do not contain any material residual value guarantees or material restrictive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not currently have any lease agreement with lease and non-lease components, we elected to account for lease and non-lease components as separate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unaudited condensed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expense were as follows (in thousands):</w:t>
      </w:r>
    </w:p>
    <w:p>
      <w:pPr>
        <w:pStyle w:val="TextBody"/>
        <w:bidi w:val="0"/>
        <w:jc w:val="left"/>
        <w:rPr/>
      </w:pPr>
      <w:r>
        <w:rPr/>
        <w:t> </w:t>
      </w:r>
    </w:p>
    <w:tbl>
      <w:tblPr>
        <w:tblW w:w="5723" w:type="dxa"/>
        <w:jc w:val="left"/>
        <w:tblInd w:w="0" w:type="dxa"/>
        <w:tblLayout w:type="fixed"/>
        <w:tblCellMar>
          <w:top w:w="28" w:type="dxa"/>
          <w:left w:w="28" w:type="dxa"/>
          <w:bottom w:w="28" w:type="dxa"/>
          <w:right w:w="28" w:type="dxa"/>
        </w:tblCellMar>
      </w:tblPr>
      <w:tblGrid>
        <w:gridCol w:w="2924"/>
        <w:gridCol w:w="224"/>
        <w:gridCol w:w="323"/>
        <w:gridCol w:w="645"/>
        <w:gridCol w:w="224"/>
        <w:gridCol w:w="224"/>
        <w:gridCol w:w="323"/>
        <w:gridCol w:w="645"/>
        <w:gridCol w:w="191"/>
      </w:tblGrid>
      <w:tr>
        <w:trPr/>
        <w:tc>
          <w:tcPr>
            <w:tcW w:w="29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color w:val="000000"/>
                <w:sz w:val="13"/>
              </w:rPr>
              <w:t>(a)</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2"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(a) </w:t>
            </w:r>
            <w:r>
              <w:rPr>
                <w:rFonts w:ascii="Times New Roman" w:hAnsi="Times New Roman"/>
                <w:color w:val="000000"/>
                <w:sz w:val="20"/>
              </w:rPr>
              <w:t>Includes variable operating lease expenses, which are immaterial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supplemental cash flow information related to leases were as follows (in thousands):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5746"/>
        <w:gridCol w:w="146"/>
        <w:gridCol w:w="211"/>
        <w:gridCol w:w="421"/>
        <w:gridCol w:w="146"/>
        <w:gridCol w:w="146"/>
        <w:gridCol w:w="211"/>
        <w:gridCol w:w="421"/>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supplemental balance sheet information related to our operating leases (in thousands, except lease term and discount rate):</w:t>
      </w:r>
    </w:p>
    <w:p>
      <w:pPr>
        <w:pStyle w:val="TextBody"/>
        <w:bidi w:val="0"/>
        <w:jc w:val="left"/>
        <w:rPr/>
      </w:pPr>
      <w:r>
        <w:rPr/>
        <w:t> </w:t>
      </w:r>
    </w:p>
    <w:tbl>
      <w:tblPr>
        <w:tblW w:w="6915" w:type="dxa"/>
        <w:jc w:val="left"/>
        <w:tblInd w:w="0" w:type="dxa"/>
        <w:tblLayout w:type="fixed"/>
        <w:tblCellMar>
          <w:top w:w="28" w:type="dxa"/>
          <w:left w:w="28" w:type="dxa"/>
          <w:bottom w:w="28" w:type="dxa"/>
          <w:right w:w="28" w:type="dxa"/>
        </w:tblCellMar>
      </w:tblPr>
      <w:tblGrid>
        <w:gridCol w:w="4126"/>
        <w:gridCol w:w="146"/>
        <w:gridCol w:w="219"/>
        <w:gridCol w:w="501"/>
        <w:gridCol w:w="271"/>
        <w:gridCol w:w="146"/>
        <w:gridCol w:w="333"/>
        <w:gridCol w:w="762"/>
        <w:gridCol w:w="4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future minimum payments under non-cancelable operating leases, were as follows (in thousands):</w:t>
      </w:r>
    </w:p>
    <w:p>
      <w:pPr>
        <w:pStyle w:val="TextBody"/>
        <w:bidi w:val="0"/>
        <w:jc w:val="left"/>
        <w:rPr/>
      </w:pPr>
      <w:r>
        <w:rPr/>
        <w:t> </w:t>
      </w:r>
    </w:p>
    <w:tbl>
      <w:tblPr>
        <w:tblW w:w="5528" w:type="dxa"/>
        <w:jc w:val="left"/>
        <w:tblInd w:w="0" w:type="dxa"/>
        <w:tblLayout w:type="fixed"/>
        <w:tblCellMar>
          <w:top w:w="28" w:type="dxa"/>
          <w:left w:w="28" w:type="dxa"/>
          <w:bottom w:w="28" w:type="dxa"/>
          <w:right w:w="28" w:type="dxa"/>
        </w:tblCellMar>
      </w:tblPr>
      <w:tblGrid>
        <w:gridCol w:w="4051"/>
        <w:gridCol w:w="346"/>
        <w:gridCol w:w="240"/>
        <w:gridCol w:w="480"/>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Grants and Licenses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ALS Therapy Development Institute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2015, Anelixis executed a License Agreement (the “ALS TDI Agreement”), which is an exclusive patent rights agreement with ALS Therapy Development Institute (“ALS TDI”) for certain patents and “know-how” of ALS TDI. The ALS TDI Agreement continues until the licensee terminates the agreement with ninety days written notice. The ALS TDI Agreement requires license fees payable to ALS TDI, subject to the achievement of certain milestones and other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and second milestones of the ALS TDI Agreement are the dosing of the first subjects in a first toxicity study in non-human primates and the dosing of the first patient in a Phase I Clinical Trial, respectively. Both of these milestones were achieved prior to 2024. The fee due upon achievement of each milestone was $1.0 million, and as the payments became due, the Company settled the obligations through the issuance of common stock in lieu of cash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ALS TDI Agreement was amended and restated in February 2020, and a first amendment to the restated license agreement was executed in September 2020. As amended in September 2020, the remaining milestone payments for a first licensed product total $6.0 million. In the event that the Company develops a second licensed product, the Company is obligated to pay up to $2.5 million in additional milestone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milestone payments, the Company is required to pay ALS TDI an amended annual license maintenance fee of $0.1 million beginning on the earlier of January 1, 2022, the Company’s first sublicense, or change in control, as defined in the ALS TDI Agreement. The Company has made a $0.1 million annual license maintenance fee each year since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Company is required to pay ALS TDI fees based on reaching certain levels of annual net sales of any product produced with the patent rights. A royalty in the low single digits will be due on aggregate net sales. Upon the first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calendar year of reaching $500.0 million in aggregate net sales, the Company will be required to pay ALS TDI a one-time milestone payment of $15.0 million. Upon the first calendar year of reaching $1.0 billion in aggregate net sales, the Company is obligated to pay ALS TDI a one-time milestone payment of $30.0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milestones achieved during the six months ended June 30, 2026 or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Lonza Sales AG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2018, Anelixis executed a License Agreement (the “Lonza Agreement”), which is a manufacturing know-how rights agreement with Lonza Sales AG (“Lonza”) for the use of certain processes and know-how related to the manufacture of tegoprubart. The Lonza Agreement continues until the later of the last Valid Claim (as defined therein) or ten years from the First Commercial Sale of tegoprubart, as defined and subject to the conditions therein. A royalty in the low single digits will be due on aggregate net sales of tegoprubart that is manufactured by Lonza or any other third-party or licensee. For the six months ended June 30, 2026 and 2025, the Company has not paid any royalties under the Lonza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its subsidiaries are not a party to or the subject of any claim or lawsuit that individually or in the aggregate is anticipated to have a material effect on the Company’s results of operations, financial condition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as of June 30, 2026 and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Note 8. Preferred Stock and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5,000,000 authorized shares of preferred stock with a par value of $0.001 per share: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Series X non-voting convertible preferred stock, 10,000</w:t>
      </w:r>
      <w:r>
        <w:rPr>
          <w:color w:val="000000"/>
        </w:rPr>
        <w:t xml:space="preserve"> </w:t>
      </w:r>
      <w:r>
        <w:rPr>
          <w:rFonts w:ascii="Times New Roman" w:hAnsi="Times New Roman"/>
          <w:color w:val="000000"/>
          <w:sz w:val="20"/>
        </w:rPr>
        <w:t>shares designated; 4,422</w:t>
      </w:r>
      <w:r>
        <w:rPr>
          <w:color w:val="000000"/>
        </w:rPr>
        <w:t xml:space="preserve"> </w:t>
      </w:r>
      <w:r>
        <w:rPr>
          <w:rFonts w:ascii="Times New Roman" w:hAnsi="Times New Roman"/>
          <w:color w:val="000000"/>
          <w:sz w:val="20"/>
        </w:rPr>
        <w:t>shares issued and outstanding at each at June 30, 2026 and December 31, 2025, respectively;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Series X</w:t>
      </w:r>
      <w:r>
        <w:rPr>
          <w:rFonts w:ascii="Times New Roman" w:hAnsi="Times New Roman"/>
          <w:color w:val="000000"/>
          <w:sz w:val="13"/>
        </w:rPr>
        <w:t>1</w:t>
      </w:r>
      <w:r>
        <w:rPr>
          <w:color w:val="000000"/>
        </w:rPr>
        <w:t xml:space="preserve"> </w:t>
      </w:r>
      <w:r>
        <w:rPr>
          <w:rFonts w:ascii="Times New Roman" w:hAnsi="Times New Roman"/>
          <w:color w:val="000000"/>
          <w:sz w:val="20"/>
        </w:rPr>
        <w:t>non-voting convertible preferred stock, 515,000</w:t>
      </w:r>
      <w:r>
        <w:rPr>
          <w:color w:val="000000"/>
        </w:rPr>
        <w:t xml:space="preserve"> </w:t>
      </w:r>
      <w:r>
        <w:rPr>
          <w:rFonts w:ascii="Times New Roman" w:hAnsi="Times New Roman"/>
          <w:color w:val="000000"/>
          <w:sz w:val="20"/>
        </w:rPr>
        <w:t>shares designated; 75,800</w:t>
      </w:r>
      <w:r>
        <w:rPr>
          <w:color w:val="000000"/>
        </w:rPr>
        <w:t xml:space="preserve"> </w:t>
      </w:r>
      <w:r>
        <w:rPr>
          <w:rFonts w:ascii="Times New Roman" w:hAnsi="Times New Roman"/>
          <w:color w:val="000000"/>
          <w:sz w:val="20"/>
        </w:rPr>
        <w:t>and 110,086</w:t>
      </w:r>
      <w:r>
        <w:rPr>
          <w:color w:val="000000"/>
        </w:rPr>
        <w:t xml:space="preserve"> </w:t>
      </w:r>
      <w:r>
        <w:rPr>
          <w:rFonts w:ascii="Times New Roman" w:hAnsi="Times New Roman"/>
          <w:color w:val="000000"/>
          <w:sz w:val="20"/>
        </w:rPr>
        <w:t>shares issued and outstanding at June 30, 2026 and December 31, 2025,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Each share of the Preferred Stock is convertible into 55.5556 shares of common stock, at the option of the holder at any time, subject to certain limitations, including, that the holder will be prohibited from converting the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Times New Roman" w:hAnsi="Times New Roman"/>
          <w:color w:val="000000"/>
          <w:sz w:val="13"/>
        </w:rPr>
        <w:t>1</w:t>
      </w:r>
      <w:r>
        <w:rPr>
          <w:rFonts w:ascii="Times New Roman" w:hAnsi="Times New Roman"/>
          <w:color w:val="000000"/>
          <w:sz w:val="20"/>
        </w:rPr>
        <w:t xml:space="preserve"> Preferred Stock, respectively. The holder of the Preferred Stock is entitled to receive dividends on shares of the Preferred Stock equal (on an as-if-converted-to-common-stock basis and without regard to any beneficial ownership limitations) to and in the same form as dividends actually paid on shares of the common stock. No other dividends will be paid on shares of the Preferred Stock. In the event of any liquidation, dissolution or winding up, the holder of the Preferred Stock will be entitled to receive out of the assets, whether capital or surplus, the same amount that a holder of common stock would receive if the Preferred Stock were fully converted to common stock, which amounts shall be paid pari passu with all holders of common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Shares of the Preferred Stock will generally have no voting rights, except as required by law and except that the consent of a majority of the holders of either series of outstanding Preferred Stock will be required to amend the terms of such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Preferred Stock includes a provision that, in the event of a tender or exchange offer by a third party in which more than 50% of the common stockholders receive cash or other assets, allows holders of Preferred Stock, upon any subsequent conversion, to redeem their shares for the same form of consideration. In August 2025, the Company concluded that because this redemption right may be triggered by an event outside the Company’s control and could result in settlement in cash, the Preferred Stock is classified as temporary equity. As of the current reporting date, a tender offer is not probable, and the Preferred Stock is not deemed probable of becoming redeemable. Because redemption is not considered probable, the Preferred Stock is not subsequently remeasured to its redemption value.</w:t>
      </w:r>
    </w:p>
    <w:p>
      <w:pPr>
        <w:pStyle w:val="TextBody"/>
        <w:bidi w:val="0"/>
        <w:spacing w:before="240" w:after="283"/>
        <w:jc w:val="left"/>
        <w:rPr>
          <w:rFonts w:ascii="Times New Roman" w:hAnsi="Times New Roman"/>
          <w:sz w:val="20"/>
        </w:rPr>
      </w:pPr>
      <w:r>
        <w:rPr>
          <w:rFonts w:ascii="Times New Roman" w:hAnsi="Times New Roman"/>
          <w:color w:val="080808"/>
          <w:sz w:val="20"/>
        </w:rPr>
        <w:t>On April 9, 2026, the Company issued an aggregate of 1,248,832 shares of its common stock upon the conversion of an aggregate of 22,479 shares of its Series X</w:t>
      </w:r>
      <w:r>
        <w:rPr>
          <w:rFonts w:ascii="Times New Roman" w:hAnsi="Times New Roman"/>
          <w:color w:val="080808"/>
          <w:sz w:val="13"/>
        </w:rPr>
        <w:t>1</w:t>
      </w:r>
      <w:r>
        <w:rPr>
          <w:rFonts w:ascii="Times New Roman" w:hAnsi="Times New Roman"/>
          <w:color w:val="080808"/>
          <w:sz w:val="20"/>
        </w:rPr>
        <w:t xml:space="preserve"> non-voting convertible preferred stock held by Biotechnology Value Fund, L.P., Biotechnology Value Fund II, L.P., Biotechnology Value Trading Fund OS LP and MSI BVF SPV, LLC, in accordance with the Certificate of Designation of Preferences, Rights and Limitations of the Series X</w:t>
      </w:r>
      <w:r>
        <w:rPr>
          <w:rFonts w:ascii="Times New Roman" w:hAnsi="Times New Roman"/>
          <w:color w:val="080808"/>
          <w:sz w:val="13"/>
        </w:rPr>
        <w:t>1</w:t>
      </w:r>
      <w:r>
        <w:rPr>
          <w:rFonts w:ascii="Times New Roman" w:hAnsi="Times New Roman"/>
          <w:color w:val="080808"/>
          <w:sz w:val="20"/>
        </w:rPr>
        <w:t xml:space="preserve"> non-voting convertible preferred stock. The conversion did not result in any cash proceeds to the Company.</w:t>
      </w:r>
    </w:p>
    <w:p>
      <w:pPr>
        <w:pStyle w:val="TextBody"/>
        <w:bidi w:val="0"/>
        <w:spacing w:before="240" w:after="283"/>
        <w:jc w:val="left"/>
        <w:rPr>
          <w:rFonts w:ascii="Times New Roman" w:hAnsi="Times New Roman"/>
          <w:sz w:val="20"/>
        </w:rPr>
      </w:pPr>
      <w:r>
        <w:rPr>
          <w:rFonts w:ascii="Times New Roman" w:hAnsi="Times New Roman"/>
          <w:color w:val="080808"/>
          <w:sz w:val="20"/>
        </w:rPr>
        <w:t>On June 30, 2026, the Company issued an aggregate of 655,943 shares of its common stock upon the conversion of an aggregate of 11,807 shares of its Series X</w:t>
      </w:r>
      <w:r>
        <w:rPr>
          <w:rFonts w:ascii="Times New Roman" w:hAnsi="Times New Roman"/>
          <w:color w:val="080808"/>
          <w:sz w:val="13"/>
        </w:rPr>
        <w:t>1</w:t>
      </w:r>
      <w:r>
        <w:rPr>
          <w:rFonts w:ascii="Times New Roman" w:hAnsi="Times New Roman"/>
          <w:color w:val="080808"/>
          <w:sz w:val="20"/>
        </w:rPr>
        <w:t xml:space="preserve"> non-voting convertible preferred stock held by Biotechnology Value Fund, L.P., Biotechnology Value Fund II, L.P., Biotechnology Value Trading Fund OS LP and MSI BVF SPV, LLC, in accordance with the Certificate of Designation of Preferences, Rights and Limitations of the Series X</w:t>
      </w:r>
      <w:r>
        <w:rPr>
          <w:rFonts w:ascii="Times New Roman" w:hAnsi="Times New Roman"/>
          <w:color w:val="080808"/>
          <w:sz w:val="13"/>
        </w:rPr>
        <w:t>1</w:t>
      </w:r>
      <w:r>
        <w:rPr>
          <w:rFonts w:ascii="Times New Roman" w:hAnsi="Times New Roman"/>
          <w:color w:val="080808"/>
          <w:sz w:val="20"/>
        </w:rPr>
        <w:t xml:space="preserve"> non-voting convertible preferred stock. The conversion did not result in any cash proceeds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2025, the Company held its 2025 Annual Meeting of Stockholders (the “2025 Annual Meeting”). At the 2025 Annual Meeting, the Company’s stockholders approved an amendment to the Company’s Restated Certificate of Incorporation (as amended, the “Certificate of Incorporation”) to increase the number of authorized shares of common stock from 200,000,000 to 300,000,000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18, 2026, the Company held its 2026 Annual Meeting of Stockholders (the “2026 Annual Meeting”). At the 2026 Annual Meeting, the Company’s stockholders approved an amendment to the Company’s Certificate of Incorporation to increase the number of authorized shares of common stock from 300,000,000 to 450,000,000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2023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28, 2023, the Company entered into a securities purchase agreement with certain investors, pursuant to which the Company issued and sold, in a private placement, (i) in an initial closing (a) an aggregate of 15,151,518 shares of common stock, or pre-funded warrants in lieu thereof, and (b) common stock warrants exercisable into an aggregate of 15,151,518 shares of common stock (or pre-funded warrants in lieu thereof) (the “Common Warrants”), (ii) in a second closing, an aggregate of 909,088 shares of common stock; and (iii) in a third closing, an aggregate of 1,727,400 shares of common stock. The Common Warrants have an exercise price of $3.00 per share and a term of five years from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the Company concluded that the Common Warrants do not meet the conditions to be classified as equity instruments under ASC 815-40 and must instead be recorded as liabilities on the Company’s consolidated balance sheets at their fair value and remeasured at fair value for each subsequent reporting period. The valuation of the Common Warrants is adjusted to fair value (Level 3) at each balance sheet date until the Common Warrants are settled or expired.</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following table presents the assumptions used in the Black-Scholes option pricing model to determine the fair value of the Common Warrants as of June 30, 2026 and December 31, 2025 as follows:</w:t>
      </w:r>
    </w:p>
    <w:tbl>
      <w:tblPr>
        <w:tblW w:w="5085" w:type="dxa"/>
        <w:jc w:val="left"/>
        <w:tblInd w:w="0" w:type="dxa"/>
        <w:tblLayout w:type="fixed"/>
        <w:tblCellMar>
          <w:top w:w="28" w:type="dxa"/>
          <w:left w:w="28" w:type="dxa"/>
          <w:bottom w:w="28" w:type="dxa"/>
          <w:right w:w="28" w:type="dxa"/>
        </w:tblCellMar>
      </w:tblPr>
      <w:tblGrid>
        <w:gridCol w:w="2626"/>
        <w:gridCol w:w="146"/>
        <w:gridCol w:w="228"/>
        <w:gridCol w:w="507"/>
        <w:gridCol w:w="146"/>
        <w:gridCol w:w="146"/>
        <w:gridCol w:w="341"/>
        <w:gridCol w:w="754"/>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Equity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20, 2024, the Company entered into an Open Market Sale Agreement (the “Sales Agreement”) with Guggenheim Securities, LLC (“Guggenheim Securities”) to sell shares of the Company’s common stock, having aggregate sales proceeds of up to $75.0 million, from time to time, through an “at-the-market” equity offering program under which Guggenheim Securities will act as sales agent. In connection with the Sales Agreement, the Company filed on September 20, 2024 a registration statement on Form S-3 containing a prospectus and prospectus supplement (the “Initial Shelf Registration Statement”) with the SEC. The Initial Shelf Registration Statement became effective on October 2, 2024. In advance of the expiration of the Initial Shelf Registration Statement, the Company filed on May 1, 2026 a new registration statement on Form S-3 containing a prospectus and prospectus supplement with the SEC, which became effective on May 11, 2026 and replaces the Initial Shelf Registration Statement. As of June 30, 2026, the Company has not sold any shares under the Sales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was exercised in full by the Underwriters.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Initial Shelf Registration Statement and a prospectus supplement relating to the 2025 Underwritten Offering dated November 12,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Offering Pre-Funded Warrants were classified as a component of permanent stockholders’ equity within additional paid-in-capital. The 2025 Offering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2025 Offering Pre-Funded Warrants do not provide any guarantee of value or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Warrant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2025, the Company entered into an exchange agreement (the “Warrant Exchange Agreement”) with Coastlands Capital Partners LP (“Coastlands Capital”), pursuant to which Coastlands Capital agreed to exchange 4,203,764 shares of the Company’s common stock for a pre-funded warrant to purchase an aggregate of 4,203,764 shares of common stock (the “Exchange Warrant”), and the Company cancelled the 4,203,764 shares of common stock delivered in the exchange.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ownership limitation, provided that in no event shall the limitation exceed 19.99% of the number of shares of the common stock outstanding immediately after giving effect to the issuance of shares of common stock upon exercise of the Exchange Warrant.</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On June 4, 2026, the Company issued 2,999,138 shares of its common stock to Coastlands Capital Partners LP upon the cashless exercise of 3,000,000 pre-funded warrants in accordance with the terms of the pre-funded warrant issued pursuant to the Warrant Exchange Agreement, dated December 30, 2025, by and between the Company and Coastlands Capital Partners LP. The exercise did not result in any cash proceeds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common stock warrants and pre-funded warrants exercisable for an aggregate of 48,693,790 shares of common stock were outstanding. The pre-funded warrants are exercisable for shares of common stock at a nominal exercise price and were fully paid for at issuance, except for the nominal exercise amount. The pre-funded warrants are intended to be economically equivalent to the Company’s common stock. The common stock warrants are exercisable for shares of common stock at an exercise price of $3.00 per share and expire on May 5, 2028.</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On April 10, 2026, the Company issued 87,269 shares of its common stock to MSI BVF SPV, LLC upon the cashless exercise of 87,300 pre-funded warrants in accordance with the terms of the pre-funded warrants issued pursuant to the underwriting agreement, dated October 29, 2024, by and between the Company and Leerink Partners, LLC, as representative of the several underwriters named therein. The exercise did not result in any cash proceeds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warrants to purchase common stock activity:</w:t>
      </w:r>
    </w:p>
    <w:p>
      <w:pPr>
        <w:pStyle w:val="TextBody"/>
        <w:bidi w:val="0"/>
        <w:spacing w:before="120" w:after="283"/>
        <w:jc w:val="left"/>
        <w:rPr/>
      </w:pPr>
      <w:r>
        <w:rPr/>
        <w:t> </w:t>
      </w:r>
    </w:p>
    <w:tbl>
      <w:tblPr>
        <w:tblW w:w="8639" w:type="dxa"/>
        <w:jc w:val="left"/>
        <w:tblInd w:w="0" w:type="dxa"/>
        <w:tblLayout w:type="fixed"/>
        <w:tblCellMar>
          <w:top w:w="28" w:type="dxa"/>
          <w:left w:w="28" w:type="dxa"/>
          <w:bottom w:w="28" w:type="dxa"/>
          <w:right w:w="28" w:type="dxa"/>
        </w:tblCellMar>
      </w:tblPr>
      <w:tblGrid>
        <w:gridCol w:w="2821"/>
        <w:gridCol w:w="146"/>
        <w:gridCol w:w="242"/>
        <w:gridCol w:w="1723"/>
        <w:gridCol w:w="146"/>
        <w:gridCol w:w="146"/>
        <w:gridCol w:w="211"/>
        <w:gridCol w:w="1499"/>
        <w:gridCol w:w="166"/>
        <w:gridCol w:w="146"/>
        <w:gridCol w:w="146"/>
        <w:gridCol w:w="103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Roll-Forward of Warrant Activity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51,781,090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33,542,272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48,693,790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Company’s outstanding warrants to purchase shares of common stock consisted of the following:</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61"/>
        <w:gridCol w:w="146"/>
        <w:gridCol w:w="358"/>
        <w:gridCol w:w="2543"/>
        <w:gridCol w:w="146"/>
        <w:gridCol w:w="146"/>
        <w:gridCol w:w="283"/>
        <w:gridCol w:w="767"/>
        <w:gridCol w:w="146"/>
        <w:gridCol w:w="146"/>
        <w:gridCol w:w="1563"/>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 Issuable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Securities Purchase Agreement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5, 2028</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2021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2030</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Securities Purchase Agreement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Securities Purchase Agreement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Underwritten Offering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Underwritten Offering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Warrant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48,693,790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10, 2024, the Company held its 2024 Annual Meeting of Stockholders (the “2024 Annual Meeting”). At the 2024 Annual Meeting, the Company’s stockholders approved an amendment to the Company’s 2020 Long Term Incentive Plan (the “2020 Plan”). The 2020 Plan, as amended, (i) reflects an increase in the limit on the aggregate number of shares of the Company’s common stock that may be delivered pursuant to all awards granted under the 2020 Plan by an additional 3,500,000 shares so that the new aggregate share limit under the 2020 Plan is 17,960,000 shares, and (ii) extends the date through which the Company may grant new awards under the 2020 Plan from November 15, 2030 to April 28, 2034.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2014 Stock Incentive Plan (the “2014 Plan”) was closed to new grants following the approval of the 2020 Plan, and therefore, there were no shares reserved for issuance under the 2014 Plan as of June 30, 2026. The number of shares reserved for issuance under the 2020 Plan and the Company’s Employee Stock Purchase Plan was 3,370,859 and 24,077 shares, respectively,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stock-based compensation expense was recognized in our unaudited condensed consolidated statements of operations and comprehensive loss as follows (in thousands):</w:t>
      </w:r>
    </w:p>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2946"/>
        <w:gridCol w:w="146"/>
        <w:gridCol w:w="211"/>
        <w:gridCol w:w="571"/>
        <w:gridCol w:w="146"/>
        <w:gridCol w:w="146"/>
        <w:gridCol w:w="211"/>
        <w:gridCol w:w="571"/>
        <w:gridCol w:w="146"/>
        <w:gridCol w:w="146"/>
        <w:gridCol w:w="211"/>
        <w:gridCol w:w="571"/>
        <w:gridCol w:w="146"/>
        <w:gridCol w:w="146"/>
        <w:gridCol w:w="211"/>
        <w:gridCol w:w="571"/>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Net Loss Per Share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Basic and diluted net loss per share are calculated using the two-class method in accordance with ASC Topic 260, Earnings Per Share. The two-class method allocates undistributed losses to the Company’s outstanding common stock, and the Preferred Stock, based on each class’s proportionate share of the total weighted-average shares outstanding. Since the Company has never declared dividends, net loss and undistributed losses are equivalent.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The process is used for both common stock and Preferred Stock. As the rights and preferences of the Preferred Stock are substantially identical to each other, they are considered a single class of common stock for earnings per share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diluted net loss per share calculation, incentive stock options, RSUs and common warrants are considered to be potentially dilutive securities and are excluded from the calculation of diluted net loss per share because their effect would be anti-dilutive. Basic weighted average shares outstanding as of June 30, 2026 and 2025 include 33,542,272 and 17,274,293 shares, respectively,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calculation of basic and diluted earnings per share for our common stock and Preferred Stock were as follows:</w:t>
      </w:r>
    </w:p>
    <w:tbl>
      <w:tblPr>
        <w:tblW w:w="10205" w:type="dxa"/>
        <w:jc w:val="left"/>
        <w:tblInd w:w="0" w:type="dxa"/>
        <w:tblLayout w:type="fixed"/>
        <w:tblCellMar>
          <w:top w:w="28" w:type="dxa"/>
          <w:left w:w="28" w:type="dxa"/>
          <w:bottom w:w="28" w:type="dxa"/>
          <w:right w:w="28" w:type="dxa"/>
        </w:tblCellMar>
      </w:tblPr>
      <w:tblGrid>
        <w:gridCol w:w="3714"/>
        <w:gridCol w:w="146"/>
        <w:gridCol w:w="211"/>
        <w:gridCol w:w="1141"/>
        <w:gridCol w:w="166"/>
        <w:gridCol w:w="146"/>
        <w:gridCol w:w="211"/>
        <w:gridCol w:w="1036"/>
        <w:gridCol w:w="166"/>
        <w:gridCol w:w="146"/>
        <w:gridCol w:w="211"/>
        <w:gridCol w:w="1141"/>
        <w:gridCol w:w="166"/>
        <w:gridCol w:w="146"/>
        <w:gridCol w:w="211"/>
        <w:gridCol w:w="1036"/>
        <w:gridCol w:w="211"/>
      </w:tblGrid>
      <w:tr>
        <w:trPr/>
        <w:tc>
          <w:tcPr>
            <w:tcW w:w="3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113,631,565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77,156,068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113,031,223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77,141,196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used in the calculation of 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available to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potentially dilutive securities outstanding based on the market price of the Company’s common stock as of June 30, 2026 and 2025 that were excluded from the computation of diluted net loss per share because their inclusion would have been anti-dilutive. These securities consist of incentive stock options, RSUs and common warrants (other than pre-funded warrants) outstanding during the respective periods.</w:t>
      </w:r>
    </w:p>
    <w:p>
      <w:pPr>
        <w:pStyle w:val="TextBody"/>
        <w:bidi w:val="0"/>
        <w:spacing w:before="120" w:after="283"/>
        <w:jc w:val="left"/>
        <w:rPr/>
      </w:pPr>
      <w:r>
        <w:rPr/>
        <w:t> </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and other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3,117,540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27,594,356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unaudited interim condensed consolidated financial statements and this Management’s Discussion and Analysis of Financial Condition and Results of Operations should be read together with the Notes to Condensed Consolidated Financial Statements included in this Quarterly Report on Form 10-Q and our audited consolidated financial statements and accompanying notes for the year ended December 31, 2025 included in the Annual Report on Form 10-K filed by the Company with the Securities and Exchange Commission (the “SEC”) on March 19, 2026 (the “2025 Form 10-K”). In addition to historical information, this discussion and analysis contains forward-looking statements within the meaning of the Private Securities Litigation Reform Act of 1995. Please see Part II, Item 1A. </w:t>
      </w:r>
      <w:r>
        <w:rPr>
          <w:rFonts w:ascii="Times New Roman" w:hAnsi="Times New Roman"/>
          <w:i/>
          <w:color w:val="000000"/>
          <w:sz w:val="20"/>
        </w:rPr>
        <w:t>Risk Factors</w:t>
      </w:r>
      <w:r>
        <w:rPr>
          <w:rFonts w:ascii="Times New Roman" w:hAnsi="Times New Roman"/>
          <w:color w:val="000000"/>
          <w:sz w:val="20"/>
        </w:rPr>
        <w:t xml:space="preserve"> in this Quarterly Report on Form 10-Q for a discussion of certain risk factors applicable to our business, financial condition, and results of operations. Operating results are not necessarily indicative of results that may occur for the full fiscal year or any other future period. See also “Special Note Regarding Forward-Looking Statements” in this Quarterly Report on Form 10-Q. Unless otherwise indicated, references to the terms “Eledon”, the “Company”, “we”, “our”, and “us” refer to Eledon Pharmaceuticals, Inc.</w:t>
      </w:r>
    </w:p>
    <w:p>
      <w:pPr>
        <w:pStyle w:val="TextBody"/>
        <w:bidi w:val="0"/>
        <w:spacing w:before="360" w:after="283"/>
        <w:jc w:val="left"/>
        <w:rPr>
          <w:rFonts w:ascii="Times New Roman" w:hAnsi="Times New Roman"/>
          <w:sz w:val="20"/>
        </w:rPr>
      </w:pPr>
      <w:r>
        <w:rPr>
          <w:rFonts w:ascii="Times New Roman" w:hAnsi="Times New Roman"/>
          <w:b/>
          <w:color w:val="000000"/>
          <w:sz w:val="20"/>
        </w:rPr>
        <w:t>ABOUT ELEDON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Eledon is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CD40L,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designed to negate the risk of thrombolytic events seen in the first generation of anti-CD40L antibodies by introducing structural modifications that have been shown in preclinical models to eliminate binding to the Fcγ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strategy is to optimize the clinical and commercial value of tegoprubart and become a global biotechnology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ALS. We selected our indications based on preclinical and clinical data that was generated with either tegoprubart or historical anti-CD40L molecules. We remain committed to further progressing ALS clinical development; however, we are unable to continue developing tegoprubart for ALS without additional funding.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2020, we acquired Anelixis Therapeutics, Inc. (“Anelixis”), the company that owned and controlled the intellectual property related to tegoprubart. See </w:t>
      </w:r>
      <w:r>
        <w:rPr>
          <w:rFonts w:ascii="Times New Roman" w:hAnsi="Times New Roman"/>
          <w:i/>
          <w:color w:val="000000"/>
          <w:sz w:val="20"/>
        </w:rPr>
        <w:t>Note 7. Commitments and Contingencies</w:t>
      </w:r>
      <w:r>
        <w:rPr>
          <w:rFonts w:ascii="Times New Roman" w:hAnsi="Times New Roman"/>
          <w:color w:val="000000"/>
          <w:sz w:val="20"/>
        </w:rPr>
        <w:t xml:space="preserve"> of the Notes to Condensed Consolidated Financial Statements included in this Quarterly Report on Form 10-Q for further details of grants and licenses related to this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our acquisition of Anelixis, we focused on developing medicines for patients with disorders of the ear, nose, and throat (“ENT”). In June 2020, we announced that our lead program did not achieve statistical significance for the primary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efficacy endpoints in the treatment of acute otitis media. As a result of this failure to achieve the primary study endpoint, we suspended the clinical development of our legacy ENT assets while we assessed potential development strategies. Following the June 2020 announcement, we significantly curtailed development expenses as we sought to identify strategic alternatives that would maximize stockholder value. As a result of these activities, we acquired Anelixis in September 2020, as described above. After acquiring Anelixis, we terminated our ENT activities and returned our product rights to the original license holders in July 2021.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Kidney Transplantation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we announced plans to prioritize and focus resources on our kidney transplantation programs. We are first focusing on kidney transplantation as this is the most common type of solid organ transplantation in the U.S. with an estimated 270,000 Americans living with a transplanted kidney. There are an estimated 28,000 kidneys transplanted annually in the U.S. Approximately 100,000 people in the U.S. are on a waiting list where they typically wait an average 3-5 years for a kidney transplant while about 5,000 people in the U.S. in need of a kidney transplant die each year waiting for a suitable kidney. Approximately 11% of U.S. people on the waiting list are waiting for a repeat transplant. There remains a critical shortage of kidneys and other organs available for transplantation.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little innovation in immunosuppression therapy for organ transplant patients over the past 30 years. The standard of care immunosuppressive drugs used post-transplant have been shown to reduce the risk of organ rejection, but they are also associated with potentially toxic side effects. Organ transplant recipients require immunosuppression therapy on a lifelong basis, and any disruption in the immunosuppression therapy can trigger transplant rejection. Calcineurin inhibitors (“CNIs”) are a critical component of most immunosuppressive regimens for kidney transplants to prevent acute and long-term kidney transplant rejection. However, chronic exposure to CNIs (tacrolimus is the drug most commonly used) is associated with nephrotoxicity, hypertension, new onset diabetes due to pancreatic beta cell toxicity, as well as central nervous system (“CNS”) side effects, like tremor. Over time, these CNI side effects may significantly damage the transplanted kidneys or result in a requirement for reduced exposures to CNIs which can lead to an increased risk of rejection. Moreover, CNS side effects like tremors may result in patients decreasing their adherence to their medicines. Today, an implanted kidney is expected to fail within 10-15 years on average using currently available immunosuppression options. The fact that American transplant patients are on average in their 50s means that many of them will ultimately need a second or even third transplant procedure during their lifetime or a return to dialysis.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central role of CD40L signaling in generating pro-inflammatory responses makes it a highly attractive candidate for therapeutic intervention in the protection of transplanted organs and prevention of transplant rejection. Results from prior studies demonstrate that targeting and blocking CD40L has the potential for better efficacy and improved safety, including reduced risk of nephrotoxicity, diabetes, hypertension, and other side effects associated with standard-of-care CNIs such as tacrolimus.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seeks to address challenges associated with current immunosuppressive transplantation regimens using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thus potentially decreasing the need for repeat kidney transplants and increasing organ availability for other patients on the wait list. By identifying and advancing novel strategies in immunosuppression including targeting the CD40L pathway, we may be able to help organs remain functional for longer and potentially throughout the natural lifespan of each recipient.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Phase 1b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regulatory approvals in the United States, Canada, the United Kingdom and Australia, for a Phase 1b clinical trial of tegoprubart in up to 36 subjects, replacing tacrolimus as an immunosuppressive regimen component in patients undergoing de novo kidney transplantation. Each participant receives rabbit antithymocyte globulin induction and a maintenance regimen consisting of tegoprubart, mycophenolate mofetil, and corticosteroids. The primary endpoint of the study is safety. Other endpoints include estimated glomerular filtration rate (“eGFR”), characterizing the pharmacokinetic profile of tegoprubart, and the incidence of biopsy-proven rejection.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Better graft function as assessed by eGFR has been associated with improved long-term patient and graft survival and is an early predictor of future graft failure. Historical studies have reported average eGFRs generally in the low 50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mL/min/1.73 m</w:t>
      </w:r>
      <w:r>
        <w:rPr>
          <w:rFonts w:ascii="Times New Roman" w:hAnsi="Times New Roman"/>
          <w:color w:val="000000"/>
          <w:sz w:val="13"/>
        </w:rPr>
        <w:t>2</w:t>
      </w:r>
      <w:r>
        <w:rPr>
          <w:rFonts w:ascii="Times New Roman" w:hAnsi="Times New Roman"/>
          <w:color w:val="000000"/>
          <w:sz w:val="20"/>
        </w:rPr>
        <w:t xml:space="preserve"> range during the first year after kidney transplant using current standard of care immunosuppression. An eGFR of 60 mL/min/1.73 m</w:t>
      </w:r>
      <w:r>
        <w:rPr>
          <w:rFonts w:ascii="Times New Roman" w:hAnsi="Times New Roman"/>
          <w:color w:val="000000"/>
          <w:sz w:val="13"/>
        </w:rPr>
        <w:t>2</w:t>
      </w:r>
      <w:r>
        <w:rPr>
          <w:rFonts w:ascii="Times New Roman" w:hAnsi="Times New Roman"/>
          <w:color w:val="000000"/>
          <w:sz w:val="20"/>
        </w:rPr>
        <w:t xml:space="preserve"> or below generally indicates chronic kidney disease.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first subject in the Phase 1b study was dosed in July 2022. We reported interim safety and efficacy results from the Phase 1b clinical trial in March 2023, and provided updated data in November 2023, June 2024 and August 2025. </w:t>
      </w:r>
    </w:p>
    <w:p>
      <w:pPr>
        <w:pStyle w:val="TextBody"/>
        <w:bidi w:val="0"/>
        <w:spacing w:before="80" w:after="160"/>
        <w:jc w:val="left"/>
        <w:rPr>
          <w:rFonts w:ascii="Times New Roman" w:hAnsi="Times New Roman"/>
          <w:sz w:val="20"/>
        </w:rPr>
      </w:pPr>
      <w:r>
        <w:rPr>
          <w:rFonts w:ascii="Times New Roman" w:hAnsi="Times New Roman"/>
          <w:color w:val="000000"/>
          <w:sz w:val="20"/>
        </w:rPr>
        <w:t>At the time of the August 2025 update, which reported data as of July 2025, 32 patients undergoing kidney transplantation were enrolled in the Phase 1b study. The updated data showed that kidney function, as assessed by eGFR, stabilized after the first month post-transplant and remained in the range of approximately 68 mL/min/1.73 m</w:t>
      </w:r>
      <w:r>
        <w:rPr>
          <w:rFonts w:ascii="Times New Roman" w:hAnsi="Times New Roman"/>
          <w:color w:val="000000"/>
          <w:sz w:val="13"/>
        </w:rPr>
        <w:t>2</w:t>
      </w:r>
      <w:r>
        <w:rPr>
          <w:rFonts w:ascii="Times New Roman" w:hAnsi="Times New Roman"/>
          <w:color w:val="000000"/>
          <w:sz w:val="20"/>
        </w:rPr>
        <w:t xml:space="preserve"> through 12 months for patients (n = 12) who remained on tegoprubart. Kidney function in the intention-to-treat population (n=15) was approximately 63 mL/min/1.73 m</w:t>
      </w:r>
      <w:r>
        <w:rPr>
          <w:rFonts w:ascii="Times New Roman" w:hAnsi="Times New Roman"/>
          <w:color w:val="000000"/>
          <w:sz w:val="13"/>
        </w:rPr>
        <w:t>2</w:t>
      </w:r>
      <w:r>
        <w:rPr>
          <w:rFonts w:ascii="Times New Roman" w:hAnsi="Times New Roman"/>
          <w:color w:val="000000"/>
          <w:sz w:val="20"/>
        </w:rPr>
        <w:t xml:space="preserve"> at 12 months. Data from historical studies using the standard of care, CNI-based immunosuppression therapy, typically report aggregate mean eGFR of approximately 53 mL/min/1.73 m</w:t>
      </w:r>
      <w:r>
        <w:rPr>
          <w:rFonts w:ascii="Times New Roman" w:hAnsi="Times New Roman"/>
          <w:color w:val="000000"/>
          <w:sz w:val="13"/>
        </w:rPr>
        <w:t>2</w:t>
      </w:r>
      <w:r>
        <w:rPr>
          <w:rFonts w:ascii="Times New Roman" w:hAnsi="Times New Roman"/>
          <w:color w:val="000000"/>
          <w:sz w:val="20"/>
        </w:rPr>
        <w:t xml:space="preserve"> during the first year after kidney transplant. In addition, preliminary abbreviated iBox data was presented suggesting that tegoprubart may improve 5-year graft survival. Abbreviated iBox, a composite biomarker panel developed by the Paris Transplant Group, incorporates kidney function (eGFR, proteinuria) and immunologic response (donor-specific HLA antibodies) parameters into a single prognostic score. Based on data collected as of July 2025, abbreviated iBox scores were -3.75 in the intention-to-treat population and -4.11 in the on-treatment population, which compare favorably to a -2.98 historical mean for CNIs. A difference in abbreviated iBox score of -0.40 at 12 months is considered predictive of a 4-5% difference in 5-year graft survival suggesting that tegoprubart may have a predicted 5-year allograft survival rate of over 96%. As of July 2025, there were six (18.8%) rejection episodes, and 75% of patients who experienced a rejection had received low-dose rabbit antithymocyte globulin induction. All rejection episodes were successfully treated. Of the patients who experienced a rejection episode and completed a year in the study, three who remained on tegoprubart had a mean eGFR of approximately 73 mL/min/1.73 m</w:t>
      </w:r>
      <w:r>
        <w:rPr>
          <w:rFonts w:ascii="Times New Roman" w:hAnsi="Times New Roman"/>
          <w:color w:val="000000"/>
          <w:sz w:val="13"/>
        </w:rPr>
        <w:t>2</w:t>
      </w:r>
      <w:r>
        <w:rPr>
          <w:rFonts w:ascii="Times New Roman" w:hAnsi="Times New Roman"/>
          <w:color w:val="000000"/>
          <w:sz w:val="20"/>
        </w:rPr>
        <w:t xml:space="preserve"> at 12 months, indicating full recovery of kidney function, while the two patients who switched to standard of care tacrolimus had a mean eGFR of approximately 34 mL/min/1.73 m² at 12 months.</w:t>
      </w:r>
    </w:p>
    <w:p>
      <w:pPr>
        <w:pStyle w:val="TextBody"/>
        <w:bidi w:val="0"/>
        <w:spacing w:before="80" w:after="283"/>
        <w:jc w:val="left"/>
        <w:rPr>
          <w:rFonts w:ascii="Times New Roman" w:hAnsi="Times New Roman"/>
          <w:color w:val="080808"/>
          <w:sz w:val="20"/>
        </w:rPr>
      </w:pPr>
      <w:r>
        <w:rPr>
          <w:rFonts w:ascii="Times New Roman" w:hAnsi="Times New Roman"/>
          <w:color w:val="080808"/>
          <w:sz w:val="20"/>
        </w:rPr>
        <w:t>In January 2026, we presented 24-month data from eight patients enrolled in the Phase 1b trial long-term extension evaluating tegoprubart in kidney transplantation at the American Society of Transplant Surgeons Winter Symposium held in Scottsdale, Arizona. During the reported follow-up period, no episodes of biopsy-proven acute rejection, graft loss, death, new-onset diabetes mellitus, or de novo donor-specific antibody formation were observed among participating patients. Mean eGFR increased over the measurement period from 67.0 mL/min/1.73 m² at 12 months to 74.2 mL/min/1.73 m² at 24 months.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Phase 2 BESTOW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2022, we received Investigational New Drug (“IND”) application clearance from the FDA for our controlled, Phase 2 BESTOW trial of tegoprubart for the prevention of transplant rejection in persons receiving a kidney transplant. The BESTOW study is a multi-center, two-arm, active comparator, head-to-head superiority clinical study, with approximately 120 participants undergoing kidney transplantation in the U.S. and other countries to evaluate the safety, pharmacokinetics, and efficacy of tegoprubart compared to the calcineurin inhibitor tacrolimus. The study’s primary objective is to assess graft function as measured by eGFR at 12 months post-transplant in participants treated with tegoprubart compared to tacrolimus. Secondary objectives are the assessment of graft survival, biopsy-proven acute rejection, and the incidence of new onset diabetes mellitus after transplant. The BESTOW study is running in parallel to the ongoing Phase 1b clinical trial of tegoprubart in kidney transplantation. The first subject in the BESTOW study was dosed in August 2023 and the last patient was dosed on September 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6, 2025, we announced topline efficacy and safety data for 12-months post transplant from the Phase 2 BESTOW trial evaluating tegoprubart for the prevention of kidney transplant rejection. Safety and efficacy results supported the potential for tegoprubart to provide effective immunosuppression with a favorable safety and tolerability profile compared to tacrolimus. Safety findings underscore tegoprubart’s potential to maintain effective immunosuppression while minimizing the metabolic, neurologic, and cardiovascular toxicities characteristic of tacrolimus-based therapy. Notably, new-onset diabetes developed in approximately 17% of patients receiving tacrolimus versus 2% receiving tegoprubart. Tremor was markedly higher in the tacrolimus group (25.0% vs. 1.6%) and cardiovascular effects, including hypertension (25.0% vs. 15.9%), hypertensive crisis (7.8% vs. 1.6%), and heart failure (4.7% vs. 0%) all favored tegoprubart. Delayed graft function occurred less often with tegoprubart and required shorter dialysis (14.3% vs. 25%; 4.6 days vs. 6.1 days) suggesting potential reductions of 115 days on dialysis post-transplant per 100 deceased donor kidney recipients on tegoprubart versus tacrolimus. Sepsis or bacteremia occurred more frequently in the tacrolimus arm (17.2% vs. 4.8%) and viral infection rates (CMV, BK, EBV, fungal) were similar across groups, with no cases of Post-Transplant Lymphoproliferative Disorder or Progressive Multifocal Leukoencephalopathy. Additionally, overall rates of serious adverse events were comparable between treatment arms. From an efficacy standpoint, tegoprubart achieved an eGFR of approximately 69 mL/min/1.73 m² (n=51) at 12 months compared to 66 mL/min/1.73 m² for tacrolimus (n=56). Although the primary endpoint did not reach statistical significance,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maintained strong renal function, delivering what the Company believes is one of the highest mean eGFR levels reported to date in kidney transplant clinical trials evaluating rejection prevention. Subgroup analyses showed higher eGFRs in nearly all tegoprubart subgroups compared to tacrolimus, particularly among living-related donor recipients (72 mL/min/1.73 m² vs. 62 mL/min/1.73 m²) and high Kidney Donor Profile Index (KDPI &gt; 35) transplants (62 mL/min/1.73 m² vs. 53 mL/min/1.73 m²). The efficacy failure composite endpoint, comprising death, graft loss and biopsy proven acute rejection, is the approval endpoint historically recognized by the FDA. The efficacy failure composite endpoint was 22% in the tegoprubart group versus 17% in the tacrolimus group, demonstrating non-inferiority for tegoprubart versus tacrolimus, using a 20% non-inferiority margin. We believe these results, if replicated in a Phase 3 study, would be sufficient to support tegoprubart’s approvability. The rate of acute rejection in all biopsies was 20.6% for tegoprubart group compared with 14.1% in the tacrolimus group. Among patients in the tegoprubart group who experienced acute rejection and remained on treatment through month 12, mean eGFR was 73 mL/min/1.73 m² compared to 50 mL/min/1.73 m² in those who switched to tacrolimus. Additionally, there was one case of donor-specific antibodies in the tegoprubart arm versus two in the tacrolimus arm.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Phase 2 Open-Label Extension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enrolled the first participant in a Phase 2 open-label extension study which is designed to evaluate the long-term safety, pharmacokinetics, and efficacy of tegoprubart in participants who have completed one year of treatment in either the ongoing Phase 1b study or the Phase 2 BESTOW study.</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In June 2026, we announced new long-term data from our Phase 2 BESTOW clinical program evaluating tegoprubart for the prevention of kidney transplant rejection, including updated results from the Phase 2 BESTOW trial and new long-term follow-up data from the BESTOW long-term extension study. Among patients who completed 12 months of treatment in the BESTOW trial, 96% (49/51) of tegoprubart-treated patients and 86% (48/56) of tacrolimus-treated patients enrolled in the long-term extension study. As of the data cutoff, mean follow-up was 21 months, with 89 patients followed through 18 months, 20 patients followed through 24 months, and the longest-followed ongoing patient followed for approximately 33 months. Kidney graft function, as assessed by eGFR, stabilized after the first month of treatment and remained higher in tegoprubart-treated patients than in tacrolimus-treated patients at each reported time point. At month 18, tegoprubart-treated patients demonstrated a statistically significant, approximately 12 mL/min/1.73 m² higher mean eGFR compared to tacrolimus-treated patients (74 vs. 61 mL/min/1.73 m²; p&lt;0.05). No biopsy-proven acute rejection (BPAR) events were observed in tegoprubart-treated patients after the first six months of treatment, whereas in the tacrolimus arm, seven of 11 total BPAR events (approximately 64%) occurred after six months, including two events after 12 months: one new case of active antibody-mediated rejection (aAMR) and one recurrent case of active T-cell-mediated rejection with aAMR. In an exploratory analysis of patients who experienced rejection following transplantation, those who remained on tegoprubart maintained higher mean eGFR than tacrolimus-treated patients who experienced rejection, with the observed difference increasing from approximately 15 mL/min/1.73 m² at 12 months to approximately 25 mL/min/1.73 m² at 21 months. Patient-reported outcome measures demonstrated lower symptom burden among tegoprubart-treated patients compared to tacrolimus-treated patients at 52 weeks, with statistically significant improvements on the Modified Transplant Symptom Occurrence and Symptom Distress Scale (MTSOSD-59R; treatment difference: -12.2; 95% CI: -19.7, -4.6; p&lt;0.05) and the KDQOL-36 Symptoms and Problems domain (treatment difference: 5.7; 95% CI: 1.0, 10.5; p&lt;0.05). Long-term follow-up from our Phase 1b study for patients treated at the 20 mg/kg dose of tegoprubart was consistent with the Phase 2 BESTOW results, with no BPAR episodes observed after six months in tegoprubart-treated patients. From a safety perspective, key central nervous system and kidney-related adverse events in the long-term extension study were observed more frequently in the tacrolimus arm than in the tegoprubart arm, including headache (12% vs. 2%), extremity pain (10% vs. 0%), fall or loss of balance (6% vs. 0%), acute kidney injury (6% vs. 2%), and diarrhea (21% vs. 10%). No graft loss, PML, PTLD, BK or CMV nephropathy/disease, or new malignancies were reported in the long-term extension study, and no new proteinuria was reported in the tegoprubart arm. One death occurred in the tegoprubart arm and was not attributed to the study drug.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Phase 3 Planning</w:t>
      </w:r>
    </w:p>
    <w:p>
      <w:pPr>
        <w:pStyle w:val="TextBody"/>
        <w:bidi w:val="0"/>
        <w:spacing w:before="120" w:after="283"/>
        <w:jc w:val="left"/>
        <w:rPr>
          <w:rFonts w:ascii="Times New Roman" w:hAnsi="Times New Roman"/>
          <w:sz w:val="20"/>
        </w:rPr>
      </w:pPr>
      <w:r>
        <w:rPr>
          <w:rFonts w:ascii="Times New Roman" w:hAnsi="Times New Roman"/>
          <w:color w:val="080808"/>
          <w:sz w:val="20"/>
        </w:rPr>
        <w:t xml:space="preserve">In the second quarter of 2026, we held an End-of-Phase 2 meeting with the FDA, and following that meeting we have established the regulatory framework for our Phase 3 kidney transplantation program and plan to initiate Phase 3 clinical development of tegoprubart in late 2026. We expect the Phase 3 primary endpoint to be non-inferiority versus tacrolimus at 52 weeks on a composite of BPAR, graft loss and death. The Phase 3 study is expected to incorporate key learnings from the Phase 2 BESTOW trial and ongoing long-term extension study. </w:t>
      </w:r>
      <w:r>
        <w:rPr>
          <w:rFonts w:ascii="Times New Roman" w:hAnsi="Times New Roman"/>
          <w:color w:val="000000"/>
          <w:sz w:val="20"/>
        </w:rPr>
        <w:t xml:space="preserve">We will need to raise additional financing to initiate a Phase 3 clinical trial in kidney transplantation. There can be no assurance such financing will be available to us on acceptable terms, or at all, for this trial, which could force us to significantly alter our business strategy, substantially curtail our current operations, or liquidate and cease operations altogether.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80808"/>
          <w:sz w:val="20"/>
        </w:rPr>
      </w:pPr>
      <w:r>
        <w:rPr>
          <w:rFonts w:ascii="Times New Roman" w:hAnsi="Times New Roman"/>
          <w:b/>
          <w:color w:val="080808"/>
          <w:sz w:val="20"/>
        </w:rPr>
        <w:t>Clinical Development of Tegoprubart for the Prevention of Allograft Rejection in Xenotransplantation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inhibition of CD40L has shown it may play an important role in immunosuppression in allograft kidney transplantation, this mechanism of action has also demonstrated that it may be a promising option in xenotransplantation (i.e., transplanting an organ from an animal to a human).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we entered into a non-exclusive collaborative research agreement with eGenesis, Inc., (“eGenesis”), under which eGenesis gained access to tegoprubart for preclinical and clinical xenotransplantation studies in support of eGenesis’ kidney, heart and islet cell xenotransplantation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tegoprubart has been used as a key component of the immunosuppression regimen in four xenotransplantation procedures: three involving genetically modified pig kidneys and one involving a genetically modified pig heart. Two of the kidney transplant recipients remain alive. One continues to maintain kidney function with the transplanted pig kidney, while the other had the graft removed on day 271 and has since received an allograft kidney from a donor.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discussions with regulatory authorities regarding the potential path to market for tegoprubart in xenotransplantation.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Islet Cell Transplantation (“ICT”)</w:t>
      </w:r>
    </w:p>
    <w:p>
      <w:pPr>
        <w:pStyle w:val="TextBody"/>
        <w:bidi w:val="0"/>
        <w:spacing w:before="120" w:after="283"/>
        <w:jc w:val="left"/>
        <w:rPr>
          <w:rFonts w:ascii="Times New Roman" w:hAnsi="Times New Roman"/>
          <w:sz w:val="20"/>
        </w:rPr>
      </w:pPr>
      <w:r>
        <w:rPr>
          <w:rFonts w:ascii="Times New Roman" w:hAnsi="Times New Roman"/>
          <w:color w:val="000000"/>
          <w:sz w:val="20"/>
        </w:rPr>
        <w:t>Type 1 diabetes (“T1D”) is a T cell mediated autoimmune disease with progressive loss of insulin producing pancreatic beta cells and affects approximately 2 million persons in the United States. Approximately 33% of people with T1D report impaired awareness of hypoglycemia regardless of continuous glucose monitoring or automated insulin usage. Approximately 12% of people with T1D experience recurrent severe hypoglycemic episodes annually, putting them at higher risk for adverse outcomes such as seizures, coma, and death. ICT is gaining attention as a thera</w:t>
      </w:r>
      <w:r>
        <w:rPr>
          <w:rFonts w:ascii="Times New Roman" w:hAnsi="Times New Roman"/>
          <w:color w:val="231F20"/>
          <w:sz w:val="20"/>
        </w:rPr>
        <w:t>peutic option for T1D because it can restore physiological insulin secretion, minimize the risk of hypoglycemic unawareness, and reduce the risk of death due to severe hypoglycemia. The advances made in this field over the past decade have improved patient outcomes, and the procedure has been evolving from an experimental treatment to a clinical treatment option</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231F20"/>
          <w:sz w:val="20"/>
        </w:rPr>
        <w:t>A number of issues are believed to continue to hamper the overall success of ICT and to need to be addressed in order for there to be widespread clinical acceptance. These include the acute loss of transplanted islets with current immunosuppressive treatments, particularly those with CNI-based therapies, due to islet cell toxicity and alloreactive immunologic responses to transplanted islets. Over time, the progressive loss of islet cells and decline in islet cell function can lead to the need for multiple transplants in order for T1D patients to have optimal response to blood glucose levels and possibly achieve insulin independence. Tegoprubart seeks to address the challenges associated with current ICT immunosuppressive regimens using CNI-based therapies, by replacing the CNIs with tegoprubart to prevent rejection and protect the transplanted cells. We believe that tegoprubart may unlock the ICT market by potentially improving islet cell graft survival and reduce the side effects associated with standard of care regimens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 studies in nonhuman primate models of ICT have demonstrated that treatment with anti-CD40L antibodies induces long term islet cell function and graft survival, even as a monotherapy. Tegoprubart has shown pre-clinical, proof-of-concept efficacy in a non-human primate model of T1D, where animals undergoing ICT maintained glucose control and sustained levels of C-peptide with chronic tegoprubart treatment for up to a year. Compared to combination immunosuppressive therapy including CNIs, tegoprubart monotherapy was more effective in preventing long term islet cell rejection, associated with better graft function, and showed an improved safety profile.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2022, the FDA granted orphan drug designation to tegoprubart for the prevention of allograft rejection in pancreatic islet cell transplantation.</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In January 2024, we announced that tegoprubart would be evaluated in an investigator-initiated clinical trial conducted at the University of Chicago Medicine’s Transplant Institute. The study is designed to assess the safety of a CNI-free immunosuppression regimen utilizing tegoprubart in individuals with T1D mellitus undergoing islet cell transplantation. We are not funding the trial and our involvement is limited to supplying tegoprubart for use in the study.</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As of March 2026, updated data from this investigator-initiated clinical trial included 12 adults with long-standing T1D undergoing allogeneic islet transplantation at University of Chicago Medicine. Among the 10 patients with more than four weeks of follow-up, all achieved insulin independence with a most recent hemoglobin A1c (“HbA1c”) below 6.0% and a mean most recent HbA1c of approximately 5.35%. Tegoprubart, administered as part of a CNI-free immunosuppression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regimen, was generally well tolerated, with no rejection episodes, no de novo donor-specific HLA antibodies, and no evidence of nephrotoxicity, hypertension, or neurotoxicity observed during the reported follow-up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further updated results from this investigator-initiated trial. All 12 adults enrolled in the trial showed stable islet graft function over a median and maximum post-transplant follow-up period of 8 and 22 months, respectively. All 12 patients continued to achieve insulin independence, meaning they no longer required chronic, exogenous insulin therapy to manage their T1D, and all patients demonstrated a most recent HbA1c below the diabetic threshold of 6.5%, with a mean most recent HbA1c of approximately 5.4% across the cohort. While all enrolled patients reported recurrent severe hypoglycemic events prior to transplantation, no severe hypoglycemic episodes were reported following transplantation. Higher levels of post-transplant islet cell engraftment were observed with the tegoprubart-based immunosuppression regimen than in historical patients treated with a tacrolimus-based immunosuppression regimen at the same center. There were no rejection episodes, and no patients developed de novo donor-specific HLA antibodies. Tegoprubart-based immunosuppression was generally well tolerated, with immunosuppression-related adverse events generally successfully treated by lowering the mycophenolic acid dose, if necessary, and no evidence of nephrotoxicity, hypertension, or neurotoxicity, which are commonly associated with CNI-based immunosuppression regimens, was observed. We believe these findings further support the potential of CD40L blockade to enable effective islet graft protection while avoiding the toxicities of CNIs such as tacrolimus.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our interactions with the FDA, we are advancing our plans to launch a registrational path study for tegoprubart in islet cell transplantation. We will need to raise additional financing to initiate registrational studies in islet cell transplantation. There can be no assurance such financing will be available to us on acceptable terms, or at all, for these studies, which could force us to significantly alter our business strategy, substantially curtail our current operations, or liquidate and cease operations altogether.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Liver Transplantation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FDA granted orphan drug designation to tegoprubart for the prevention of allograft rejection in liver transplantation, the third orphan drug designation received by tegoprubart from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initiate an investigator-led study evaluating tegoprubart for the prevention of allograft rejection in patients receiving a de novo liver transplant.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 is a progressive, paralytic disorder characterized by degeneration of motor neurons in the brain and spinal cord. In the U.S., the incidence is estimated at approximately 5,000 cases per year with a prevalence of approximately 30,000 cases overall. Despite 3 approved drugs, in most cases, death from respiratory failure occurs between 3 to 5 years from diagnosis, with 50% of patients living at least 3 years from diagnosis and only 20% of patients living at least 5 years from diagnosis.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exact pathogenic mechanism of ALS is still not fully understood, there is strong evidence indicating that neuroinflammation plays an important role in the disease’s pathogenesis. Neuroinflammation in ALS is characterized by the infiltration of lymphocytes and macrophages into the central nervous system, and the activation of microglia and reactive astrocytes. Reactive astrocytes and microglia as well as infiltrating lymphocytes, dendritic cells, monocytes, macrophages and immune complexes have been identified in cerebrospinal fluid and neural tissues in both animal models of ALS and at autopsy in ALS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designed to block CD40L binding to CD40, thereby potentially inhibiting neuroinflammatory pathways leading to disease progression in ALS. In vitro proof-of-concept studies have shown that tegoprubart binds to CD40L in human cells and blocks the CD40L binding on antigen presenting cells and activated T cells. The potential for therapeutic benefit of CD40L blockage in treating ALS has been demonstrated in a SOD1 mouse model of ALS, where a murine anti-CD40L antibody prolonged survival and delayed the onset of neurological disease progression. These pathophysiological manifestations are believed to be due to reduced immune cell infiltration of macrophages into skeletal muscle and their destroying denervated nerves. The plasticity of the nervous system to repair itself in the absence of this immune cell attack is believed to result in improved neuromuscular junction occupancy and improved muscle function. Blocking CD40L signaling also prevents pro-inflammatory polarization of lymphocytes, reduced neuroinflammation and improved motor neuron survival in rodent ALS models.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2018, the FDA granted orphan drug designation to tegoprubart for ALS. In 2019, we completed a single ascending dose Phase 1 study of tegoprubart in healthy volunteers and people with ALS. In this study, the doses of tegoprubart studied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were well tolerated in healthy adult subjects and adults with ALS. Tegoprubart demonstrated low anti-drug antibody responses that were not dose related, linear dose proportionality across the dose ranges, and a half-life of up to 26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2020, we initiated a Phase 2a, open-label, multi-center study to evaluate the safety and tolerability of multiple doses of tegoprubart in adult subjects with ALS. Fifty-four subjects with ALS were enrolled into the study in the United States and Canada at 13 ALS treatment sites. Ascending doses of tegoprubart were administered as IV infusions to four sequentially enrolling cohorts. The first two cohorts consisted of nine participants, and the last two cohorts of 18 participants each. All enrolled subjects received six infusions of tegoprubart over a 12 week period. Blood samples for target engagement, and exploratory biomarkers for inflammation and neurodegeneration were taken and analyzed. Participant-focused clinical outcomes were also assessed. In May 2022, we completed the Phase 2a study and released positive topline results. Tegoprubart successfully met the primary endpoints of safety and tolerability. Fifty of the fifty-four subjects completed all six study infusions, and adverse events were typical of an ALS patient population. Tegoprubart was well-tolerated, and no drug-related serious adverse events were observed. No new safety signals emerged. Anti-drug antibodies (“ADAs”) were present in less than 5 percent of samples. All ADAs were of low titer and did not impact tegoprubart drug levels. Tegoprubart target engagement was demonstrated in all dose cohorts with increasing target engagement in a dose-dependent manner, plateauing at the 4 and 8 mg / kg dosing levels using CD40L and CXCL13 biomarkers related to T cell and B cell function, respectively. Tegoprubart exposure decreased inflammatory biomarker levels, in a dose dependent manner, in 20 of 32 pro-inflammatory proteins. Pro-inflammatory biomarkers reduced included biomarkers also associated with IgA nephropathy and kidney transplant rejection, such as IgA, IgE, IgM, C3, CXCL9, and CXCL10.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seeking to further progress ALS clinical development; however, we will be unable to continue this program without additional financing dedicated to ALS, and we can provide no assurance that such financing will be available on acceptable terms, or at all.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IgA Nephropathy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announced the deprioritization of its IgAN program and all IgAN clinical development activities were discontinued in 2023. IgAN is the leading cause of chronic glomerulonephritis, a state of inflammation producing damage to the filtering part of the kidney. Disease manifestation and clinical presentation involves renal dysfunction characterized by proteinuria with a slow relentless course. Approximately 30%-40% of persons living with IgAN ultimately reach end stage renal disease (“ESRD”). The standard of care for ESRD is dialysis or kidney transplant, which represents a significant economic burden as well as a major impact on a patient’s quality of life. With an estimated prevalence of approximately 150,000 persons in the United States, IgAN is one of the most common autoimmune glomerulonephropathies. In the United States, oral budesonide Tarpeyo was approved for use in IgAN by the FDA in December 2021 and Kinpeygo received conditional approval by the European Medicines Agency (“EMA”) in July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received IND clearance from the FDA to evaluate tegoprubart for the treatment of IgAN. The Phase 2 global study was a 96-week open-label, dose ranging trial, and included both a high dose and a low dose cohort. The primary endpoint was change in urinary protein:creatinine ratio at week twenty-four. Secondary endpoints included change in eGFR at week 96 as well as safety and tolerability. The first subject was dosed in May 2022. We reported interim safety data from the Phase 2 high dose cohort in March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Equity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20, 2024, the Company entered into an Open Market Sale Agreement (the “Sales Agreement”) with Guggenheim Securities, LLC (“Guggenheim Securities”) to sell shares of the Company’s common stock, having aggregate sales proceeds of up to $75.0 million, from time to time, through an “at-the-market” equity offering program under which Guggenheim Securities will act as sales agent. In connection with the Sales Agreement, the Company filed on September 20, 2024 a registration statement on Form S-3 containing a prospectus and prospectus supplement (the “Initial Shelf Registration Statement”) with the SEC. The Initial Shelf Registration Statement became effective on October 2, 2024. In advance of the expiration of the Initial Shelf Registration Statement, the Company filed on May 1, 2026 a new registration statement on Form S-3 containing a prospectus and prospectus supplement with the SEC, which became effective on May 11, 2026 and replaces the Initial Shelf Registration Statement. As of June 30, 2026, we have not sold any shares under the Sales Agreement.</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was exercised in full by the Underwriters.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Initial Shelf Registration Statement and a prospectus supplement relating to the 2025 Underwritten Offering dated November 12,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upon notice to the Company,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pStyle w:val="TextBody"/>
        <w:bidi w:val="0"/>
        <w:spacing w:before="360" w:after="283"/>
        <w:jc w:val="left"/>
        <w:rPr>
          <w:rFonts w:ascii="Times New Roman" w:hAnsi="Times New Roman"/>
          <w:b/>
          <w:i/>
          <w:color w:val="080808"/>
          <w:sz w:val="20"/>
        </w:rPr>
      </w:pPr>
      <w:r>
        <w:rPr>
          <w:rFonts w:ascii="Times New Roman" w:hAnsi="Times New Roman"/>
          <w:b/>
          <w:i/>
          <w:color w:val="080808"/>
          <w:sz w:val="20"/>
        </w:rPr>
        <w:t>2025 Warrant Exchange Agreement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On December 30, 2025, the Company entered into an exchange agreement (the “Warrant Exchange Agreement”) with Coastlands Capital Partners LP (“Coastlands Capital”), pursuant to which Coastlands Capital agreed to exchange 4,203,764 shares of the Company’s common stock for a pre-funded warrant to purchase an aggregate of 4,203,764 shares of the Company’s common stock (the “Exchange Warrant”), and the Company cancelled the 4,203,764 shares of common stock delivered in the exchange.</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ownership limitation, provided that in no event shall the limitation exceed 19.99% of the number of shares of the common stock outstanding immediately after giving effect to the issuance of shares of common stock upon exercise of the Exchange Warrant.</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On June 4, 2026, the Company issued 2,999,138 shares of its common stock to Coastlands Capital Partners LP upon the cashless exercise of 3,000,000 pre-funded warrants in accordance with the terms of the pre-funded warrant issued pursuant to the Warrant Exchange Agreement. The exercise did not result in any cash proceeds to the Company.</w:t>
      </w:r>
    </w:p>
    <w:p>
      <w:pPr>
        <w:pStyle w:val="TextBody"/>
        <w:bidi w:val="0"/>
        <w:spacing w:before="360" w:after="283"/>
        <w:jc w:val="left"/>
        <w:rPr>
          <w:rFonts w:ascii="Times New Roman" w:hAnsi="Times New Roman"/>
          <w:b/>
          <w:i/>
          <w:color w:val="080808"/>
          <w:sz w:val="20"/>
        </w:rPr>
      </w:pPr>
      <w:r>
        <w:rPr>
          <w:rFonts w:ascii="Times New Roman" w:hAnsi="Times New Roman"/>
          <w:b/>
          <w:i/>
          <w:color w:val="080808"/>
          <w:sz w:val="20"/>
        </w:rPr>
        <w:t>Common Stock Warrants, Convertible Preferred Stock and Pre-Funded Warrants</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As of June 30, 2026, common stock warrants were exercisable into an aggregate of 15,151,518 shares of common stock (after rounding for fractional shares and subject to beneficial ownership conversion blockers) at an exercise price of $3.00 per share. These warrants expire on May 5, 2028. The shares of common stock underlying the common stock warrants are registered for offer and sale under the Securities Act pursuant to our effective registration statements on Forms S-3.</w:t>
      </w:r>
    </w:p>
    <w:p>
      <w:pPr>
        <w:pStyle w:val="TextBody"/>
        <w:bidi w:val="0"/>
        <w:spacing w:before="240" w:after="283"/>
        <w:jc w:val="left"/>
        <w:rPr>
          <w:rFonts w:ascii="Times New Roman" w:hAnsi="Times New Roman"/>
          <w:sz w:val="20"/>
        </w:rPr>
      </w:pPr>
      <w:r>
        <w:rPr>
          <w:rFonts w:ascii="Times New Roman" w:hAnsi="Times New Roman"/>
          <w:color w:val="080808"/>
          <w:sz w:val="20"/>
        </w:rPr>
        <w:t>On April 9, 2026, the Company issued an aggregate of 1,248,832 shares of its common stock upon the conversion of an aggregate of 22,479 shares of its Series X</w:t>
      </w:r>
      <w:r>
        <w:rPr>
          <w:rFonts w:ascii="Times New Roman" w:hAnsi="Times New Roman"/>
          <w:color w:val="080808"/>
          <w:sz w:val="13"/>
        </w:rPr>
        <w:t>1</w:t>
      </w:r>
      <w:r>
        <w:rPr>
          <w:rFonts w:ascii="Times New Roman" w:hAnsi="Times New Roman"/>
          <w:color w:val="080808"/>
          <w:sz w:val="20"/>
        </w:rPr>
        <w:t xml:space="preserve"> non-voting convertible preferred stock held by Biotechnology Value Fund, L.P., Biotechnology Value Fund II, L.P., Biotechnology Value Trading Fund OS LP and MSI BVF SPV, LLC, in accordance with the Certificate of Designation of Preferences, Rights and Limitations of the Series X1 non-voting convertible preferred stock. The conversion did not result in any cash proceeds to the Company.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On April 10, 2026, the Company issued 87,269 shares of its common stock to MSI BVF SPV, LLC upon the cashless exercise of 87,300 pre-funded warrants in accordance with the terms of the pre-funded warrants issued pursuant to the underwriting agreement, dated October 29, 2024, by and between the Company and Leerink Partners, LLC, as representative of the several underwriters named therein. The exercise did not result in any cash proceeds to the Company.</w:t>
      </w:r>
    </w:p>
    <w:p>
      <w:pPr>
        <w:pStyle w:val="TextBody"/>
        <w:bidi w:val="0"/>
        <w:spacing w:before="240" w:after="283"/>
        <w:jc w:val="left"/>
        <w:rPr>
          <w:rFonts w:ascii="Times New Roman" w:hAnsi="Times New Roman"/>
          <w:sz w:val="20"/>
        </w:rPr>
      </w:pPr>
      <w:r>
        <w:rPr>
          <w:rFonts w:ascii="Times New Roman" w:hAnsi="Times New Roman"/>
          <w:color w:val="080808"/>
          <w:sz w:val="20"/>
        </w:rPr>
        <w:t>On June 30, 2026, the Company issued an aggregate of 655,943 shares of its common stock upon the conversion of an aggregate of 11,807 shares of its Series X</w:t>
      </w:r>
      <w:r>
        <w:rPr>
          <w:rFonts w:ascii="Times New Roman" w:hAnsi="Times New Roman"/>
          <w:color w:val="080808"/>
          <w:sz w:val="13"/>
        </w:rPr>
        <w:t>1</w:t>
      </w:r>
      <w:r>
        <w:rPr>
          <w:rFonts w:ascii="Times New Roman" w:hAnsi="Times New Roman"/>
          <w:color w:val="080808"/>
          <w:sz w:val="20"/>
        </w:rPr>
        <w:t xml:space="preserve"> non-voting convertible preferred stock held by Biotechnology Value Fund, L.P., Biotechnology Value Fund II, L.P., Biotechnology Value Trading Fund OS LP and MSI BVF SPV, LLC, in accordance with the Certificate of Designation of Preferences, Rights and Limitations of the Series X</w:t>
      </w:r>
      <w:r>
        <w:rPr>
          <w:rFonts w:ascii="Times New Roman" w:hAnsi="Times New Roman"/>
          <w:color w:val="080808"/>
          <w:sz w:val="13"/>
        </w:rPr>
        <w:t>1</w:t>
      </w:r>
      <w:r>
        <w:rPr>
          <w:rFonts w:ascii="Times New Roman" w:hAnsi="Times New Roman"/>
          <w:color w:val="080808"/>
          <w:sz w:val="20"/>
        </w:rPr>
        <w:t xml:space="preserve"> non-voting convertible preferred stock. The conversion did not result in any cash proceeds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Operations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primarily of costs associated with research and development activities and general and administrative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which consist primarily of costs associated with our product research and development efforts, are expensed as incurred. Research and development expenses consist primarily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benefits, stock-based compensation and travel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and sites that conduct our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associated with manufacturing materials for use in non-clinical studies and clinical trials and developing external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engaged in research and development activities, including their fees and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related to our non-clinical studies and clinical trials and expenses related to our regulatory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that include salaries, benefits and travel expenses for our executive, finance, and other administrative functions, and stock-based compensation expense. General and administrative expenses also include professional fees for expenses incurred under agreements with third parties relating to public relations, audit, tax and legal services, including legal expenses to pursue patent protection of our intellectual property; and our information technology, facilities and other related expenses, including rent, maintenance of facilities, insurance and supplies.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represents the initial recognition of warrant liabilities at fair value in excess of proceeds received, as well as subsequent period remeasurements of these warrant liabilities at fair value. These remeasurements reflect changes in market conditions, such as fluctuations in stock price, volatility, interest rates, and other valuation inputs that impact the fair value of the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In Part II, Item 7 of the 2025 Form 10-K, we disclosed our critical accounting estimates, which are those estimates made in accordance with GAAP that involve a significant level of estimation uncertainty and have had or are reasonably likely to have a material impact on our financial condition or results of operation. There have been no significant changes in our critical accounting estimates during the six months ended June 30, 2026, as compared to those disclosed in the 2025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description of recently issued accounting pronouncements that may potentially impact our financial position and results of operations is set forth in </w:t>
      </w:r>
      <w:r>
        <w:rPr>
          <w:rFonts w:ascii="Times New Roman" w:hAnsi="Times New Roman"/>
          <w:i/>
          <w:color w:val="000000"/>
          <w:sz w:val="20"/>
        </w:rPr>
        <w:t>Note 2.</w:t>
      </w:r>
      <w:r>
        <w:rPr>
          <w:rFonts w:ascii="Times New Roman" w:hAnsi="Times New Roman"/>
          <w:color w:val="000000"/>
          <w:sz w:val="20"/>
        </w:rPr>
        <w:t xml:space="preserve"> </w:t>
      </w:r>
      <w:r>
        <w:rPr>
          <w:rFonts w:ascii="Times New Roman" w:hAnsi="Times New Roman"/>
          <w:i/>
          <w:color w:val="000000"/>
          <w:sz w:val="20"/>
        </w:rPr>
        <w:t>Summary of Significant Accounting Policies</w:t>
      </w:r>
      <w:r>
        <w:rPr>
          <w:rFonts w:ascii="Times New Roman" w:hAnsi="Times New Roman"/>
          <w:color w:val="000000"/>
          <w:sz w:val="20"/>
        </w:rPr>
        <w:t>, of the Notes to Condensed Consolidated Financial Statements included in this Quarterly Report on Form 10-Q.</w:t>
      </w:r>
    </w:p>
    <w:p>
      <w:pPr>
        <w:pStyle w:val="TextBody"/>
        <w:bidi w:val="0"/>
        <w:spacing w:before="360" w:after="283"/>
        <w:jc w:val="left"/>
        <w:rPr>
          <w:rFonts w:ascii="Times New Roman" w:hAnsi="Times New Roman"/>
          <w:sz w:val="20"/>
        </w:rPr>
      </w:pPr>
      <w:r>
        <w:rPr>
          <w:rFonts w:ascii="Times New Roman" w:hAnsi="Times New Roman"/>
          <w:b/>
          <w:color w:val="000000"/>
          <w:sz w:val="20"/>
        </w:rPr>
        <w:t>Market Trends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the financial and credit markets, has recently experienced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items could materially affect our business, possibly to a significant degree. The severity and duration of any such impacts cannot be predicted. See Item 1A. “Risk Factors” in Part II of this Quarterly Report on Form 10-Q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comparative unaudited results of operations for the three months ended June 30, 2026 and 2025 (in thousands):</w:t>
      </w:r>
    </w:p>
    <w:p>
      <w:pPr>
        <w:pStyle w:val="TextBody"/>
        <w:bidi w:val="0"/>
        <w:jc w:val="left"/>
        <w:rPr/>
      </w:pPr>
      <w:r>
        <w:rPr/>
        <w:t> </w:t>
      </w:r>
    </w:p>
    <w:tbl>
      <w:tblPr>
        <w:tblW w:w="8433"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736"/>
        <w:gridCol w:w="5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period-over-period changes in research and development expenses for the periods presented (in thousands):</w:t>
      </w:r>
    </w:p>
    <w:p>
      <w:pPr>
        <w:pStyle w:val="TextBody"/>
        <w:bidi w:val="0"/>
        <w:spacing w:before="120" w:after="283"/>
        <w:jc w:val="left"/>
        <w:rPr/>
      </w:pPr>
      <w:r>
        <w:rPr/>
        <w:t> </w:t>
      </w:r>
    </w:p>
    <w:tbl>
      <w:tblPr>
        <w:tblW w:w="7532" w:type="dxa"/>
        <w:jc w:val="left"/>
        <w:tblInd w:w="0" w:type="dxa"/>
        <w:tblLayout w:type="fixed"/>
        <w:tblCellMar>
          <w:top w:w="28" w:type="dxa"/>
          <w:left w:w="28" w:type="dxa"/>
          <w:bottom w:w="28" w:type="dxa"/>
          <w:right w:w="28" w:type="dxa"/>
        </w:tblCellMar>
      </w:tblPr>
      <w:tblGrid>
        <w:gridCol w:w="3916"/>
        <w:gridCol w:w="146"/>
        <w:gridCol w:w="211"/>
        <w:gridCol w:w="676"/>
        <w:gridCol w:w="146"/>
        <w:gridCol w:w="146"/>
        <w:gridCol w:w="211"/>
        <w:gridCol w:w="676"/>
        <w:gridCol w:w="146"/>
        <w:gridCol w:w="146"/>
        <w:gridCol w:w="225"/>
        <w:gridCol w:w="67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kidney transplantation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decreased $2.0 million for the three months ended June 30, 2026, compared to the three months ended June 30, 2025. The decrease was primarily attributable to the following: </w:t>
      </w:r>
    </w:p>
    <w:p>
      <w:pPr>
        <w:pStyle w:val="TextBody"/>
        <w:bidi w:val="0"/>
        <w:spacing w:before="120" w:after="283"/>
        <w:jc w:val="left"/>
        <w:rPr>
          <w:color w:val="080808"/>
        </w:rPr>
      </w:pPr>
      <w:r>
        <w:rPr>
          <w:color w:val="080808"/>
        </w:rPr>
        <w:t>•</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a decrease of $3.0 million in expenses related to Tegoprubart - kidney transplantation programs, primarily driven by lower external CRO costs related to the close-out activities of our Phase 2 BESTOW trial for kidney transplantation;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$0.5 million in manufacturing costs, primarily due to contract manufacturing expenses associated with decreased production of drug substance and drug product clinical trial supply. We expect manufacturing costs to increase as we advance our clinical programs, including preparation for a potential Phase 3 kidney transplantation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$0.4 million in personnel-related expenses, driven by increased headcount supporting ongoing clinical development programs;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$1.0 million in stock-based compensation expense, </w:t>
      </w:r>
      <w:r>
        <w:rPr>
          <w:rFonts w:ascii="Times New Roman" w:hAnsi="Times New Roman"/>
          <w:color w:val="080808"/>
          <w:sz w:val="20"/>
        </w:rPr>
        <w:t>primarily attributable to accelerated vesting of stock option grants.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period-over-period changes in general and administrative expenses for the periods presented (in thousands):</w:t>
      </w:r>
    </w:p>
    <w:tbl>
      <w:tblPr>
        <w:tblW w:w="6947" w:type="dxa"/>
        <w:jc w:val="left"/>
        <w:tblInd w:w="0" w:type="dxa"/>
        <w:tblLayout w:type="fixed"/>
        <w:tblCellMar>
          <w:top w:w="28" w:type="dxa"/>
          <w:left w:w="28" w:type="dxa"/>
          <w:bottom w:w="28" w:type="dxa"/>
          <w:right w:w="28" w:type="dxa"/>
        </w:tblCellMar>
      </w:tblPr>
      <w:tblGrid>
        <w:gridCol w:w="3541"/>
        <w:gridCol w:w="146"/>
        <w:gridCol w:w="211"/>
        <w:gridCol w:w="571"/>
        <w:gridCol w:w="146"/>
        <w:gridCol w:w="146"/>
        <w:gridCol w:w="211"/>
        <w:gridCol w:w="571"/>
        <w:gridCol w:w="146"/>
        <w:gridCol w:w="146"/>
        <w:gridCol w:w="274"/>
        <w:gridCol w:w="627"/>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$0.2 million for the three months ended June 30, 2026, compared to the three months ended June 30, 2025. The increase was primarily attributable to the following: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increase of $0.7 million in professional and consulting expenses,</w:t>
      </w:r>
      <w:r>
        <w:rPr>
          <w:color w:val="FF0000"/>
        </w:rPr>
        <w:t xml:space="preserve"> </w:t>
      </w:r>
      <w:r>
        <w:rPr>
          <w:rFonts w:ascii="Times New Roman" w:hAnsi="Times New Roman"/>
          <w:color w:val="080808"/>
          <w:sz w:val="20"/>
        </w:rPr>
        <w:t>primarily driven by increased audit and corporate communication services,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$0.5 million in stock-based compensation expense, primarily due to certain equity awards granted in prior periods becoming fully vested, resulting in no further expense recognition for those awards.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for the three months ended June 30, 2026 decreased by $0.4 million compared to the three months ended June 30, 2025, primarily due to lower interest rates and lower average balances of cash, cash equivalents, and short-term investments.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fair value of warrant liabilities increased by $9.6 million. This change was primarily driven by an increase in the fair value of the Common Warrants, reflecting an increase in the Company’s stock price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comparison, for the three months ended June 30, 2025, the fair value of the warrant liabilities decreased by $12.3 million, primarily due to a decline in the Company’s stock price during the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comparative unaudited results of operations for the six months ended June 30, 2026 and 2025 (in thousands):</w:t>
      </w:r>
    </w:p>
    <w:p>
      <w:pPr>
        <w:pStyle w:val="TextBody"/>
        <w:bidi w:val="0"/>
        <w:spacing w:before="120" w:after="283"/>
        <w:jc w:val="left"/>
        <w:rPr/>
      </w:pPr>
      <w:r>
        <w:rPr/>
        <w:t> </w:t>
      </w:r>
    </w:p>
    <w:tbl>
      <w:tblPr>
        <w:tblW w:w="8453"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736"/>
        <w:gridCol w:w="6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(52,944</w:t>
            </w:r>
          </w:p>
        </w:tc>
        <w:tc>
          <w:tcPr>
            <w:tcW w:w="6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period-over-period changes in research and development expenses for the periods presented (in thousands):</w:t>
      </w:r>
    </w:p>
    <w:p>
      <w:pPr>
        <w:pStyle w:val="TextBody"/>
        <w:bidi w:val="0"/>
        <w:spacing w:before="120" w:after="283"/>
        <w:jc w:val="left"/>
        <w:rPr/>
      </w:pPr>
      <w:r>
        <w:rPr/>
        <w:t> </w:t>
      </w:r>
    </w:p>
    <w:tbl>
      <w:tblPr>
        <w:tblW w:w="7552" w:type="dxa"/>
        <w:jc w:val="left"/>
        <w:tblInd w:w="0" w:type="dxa"/>
        <w:tblLayout w:type="fixed"/>
        <w:tblCellMar>
          <w:top w:w="28" w:type="dxa"/>
          <w:left w:w="28" w:type="dxa"/>
          <w:bottom w:w="28" w:type="dxa"/>
          <w:right w:w="28" w:type="dxa"/>
        </w:tblCellMar>
      </w:tblPr>
      <w:tblGrid>
        <w:gridCol w:w="3916"/>
        <w:gridCol w:w="146"/>
        <w:gridCol w:w="211"/>
        <w:gridCol w:w="676"/>
        <w:gridCol w:w="146"/>
        <w:gridCol w:w="146"/>
        <w:gridCol w:w="211"/>
        <w:gridCol w:w="676"/>
        <w:gridCol w:w="166"/>
        <w:gridCol w:w="146"/>
        <w:gridCol w:w="225"/>
        <w:gridCol w:w="67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kidney transplantation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increased $1.6 million for the six months ended June 30, 2026, compared to the six months ended June 30, 2025. The increase was primarily attributable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$6.1 million in expenses related to Tegoprubart - kidney transplantation programs, primarily driven by lower external CRO costs associated with close-out activities of our Phase 2 BESTOW clinical trial;</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$0.2 million in expenses related to Tegoprubart - other development programs, primarily due to the termination of our IgAN program in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$5.7 million in manufacturing expenses, primarily with contract manufacturing organizations, for the increased production of drug substance and drug product clinical trial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$0.8 million in personnel-related expenses, primarily due to increased headcount to support ongoing clinical development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$1.1 million in stock-based compensation expense, primarily attributable to accelerated vesting of stock option grants.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period-over-period changes in general and administrative expenses for the periods presented (in thousands): </w:t>
      </w:r>
    </w:p>
    <w:p>
      <w:pPr>
        <w:pStyle w:val="TextBody"/>
        <w:bidi w:val="0"/>
        <w:jc w:val="left"/>
        <w:rPr/>
      </w:pPr>
      <w:r>
        <w:rPr/>
        <w:t> </w:t>
      </w:r>
    </w:p>
    <w:tbl>
      <w:tblPr>
        <w:tblW w:w="6947" w:type="dxa"/>
        <w:jc w:val="left"/>
        <w:tblInd w:w="0" w:type="dxa"/>
        <w:tblLayout w:type="fixed"/>
        <w:tblCellMar>
          <w:top w:w="28" w:type="dxa"/>
          <w:left w:w="28" w:type="dxa"/>
          <w:bottom w:w="28" w:type="dxa"/>
          <w:right w:w="28" w:type="dxa"/>
        </w:tblCellMar>
      </w:tblPr>
      <w:tblGrid>
        <w:gridCol w:w="3541"/>
        <w:gridCol w:w="146"/>
        <w:gridCol w:w="211"/>
        <w:gridCol w:w="571"/>
        <w:gridCol w:w="146"/>
        <w:gridCol w:w="146"/>
        <w:gridCol w:w="211"/>
        <w:gridCol w:w="571"/>
        <w:gridCol w:w="146"/>
        <w:gridCol w:w="146"/>
        <w:gridCol w:w="225"/>
        <w:gridCol w:w="67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$0.3 million for the six months ended June 30, 2026, compared to the six months ended June 30, 2025. The decrease was primarily attributable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$1.0 million in professional and consulting expenses, primarily driven by increased audit and corporate communication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$0.1 million in personnel-related expenses, primarily due to a decrease in travel-related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$1.3 million in stock-based compensation expense, primarily due to certain equity awards granted in prior years becoming fully vested and fewer equity awards granted in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in other expenses, primarily driven by an increase in general operating costs.</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$0.7 million decrease in other income, net for the six months ended June 30, 2026 compared to the six months ended June 30, 2025, was primarily due to a decrease in interest income, reflecting lower interest rates and lower average balances of cash, cash equivalents, and short-term investments.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 fair value of warrant liabilities increased by $28.6 million. This change was primarily driven by an increase in the fair value of the Common Warrants, reflecting an increase in the Company’s stock price during the period. The warrant liability increased from $11.4 million as of December 31, 2025 to $40.0 million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contrast, for the six months ended June 30, 2025, the fair value of the warrant liabilities decreased by $22.4 million, primarily due to a decline in the Company’s stock price. The warrant liability decreased from $44.9 million as of December 31, 2024 to $22.5 million as of June 30, 2025.</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We do not have any approved products for commercial sale and have never generated revenue from product sales. We have incurred significant net losses and negative cash flows from operations since our inception and expect to continue to incur significant operating losses and negative cash flows from operations for the foreseeable future as we advance the clinical development of our product candidates. As of June 30, 2026, we had cash, cash equivalents and short-term investments of $88.8 million, working capital of $81.3 million and an accumulated deficit of $471.9 million. To date, we have financed our operations primarily through the sale of preferred stock, common stock and warrants.</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Our current operating plan, including the planned initiation of a Phase 3 clinical trial in kidney transplantation and continued advancement of our islet cell transplantation program, will require substantial additional capital. We intend to seek additional capital through public or private equity or debt financings, including through our at-the-market equity offering program, or other securities issuances, strategic collaborations, licensing arrangements, credit or loan facilities and other available sources. Our ability to obtain additional financing is dependent on a number of factors, including, but not limited to, market conditions, investor demand for our common stock or other securities, the progress of our development programs and other business risks and uncertainties. There can be no assurance that additional financing will be available when needed or on terms acceptable to us. If we raise capital through the issuance of equity or convertible debt securities, existing stockholders may experience dilution, incur significant financing costs and the new securities may have rights, preferences and privileges senior to those of existing stockholders. If we incur additional indebtedness, it may become subject to additional debt service obligations and operating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do not currently have sufficient cash, cash equivalents, short-term investments and other available resources to fund our operations for at least twelve months from the date of issuance of the unaudited condensed consolidated financial statements included in this Quarterly Report on Form 10-Q. Accordingly, management has concluded that substantial doubt exists about our ability to continue as a going concern. Although management intends to obtain additional financing through the sources described above, these plans are subject to market conditions and other factors outside our control. Accordingly, management has concluded that its plans do not alleviate the substantial doubt about our ability to continue as a going concern. The accompanying unaudited condensed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 of cash is to fund operating expenses, which consist of clinical research and development expenses, manufacturing expenses, legal and compliance expenses, compensation and related expenses, and general overhead costs. Cash used to fund operating expenses is impacted by the timing of when we pay or prepay these expenses. As of June 30, 2026, there have been no changes in our material cash requirements from known contractual and other obligations, including commitments for capital expenditures, as disclosed under “Liquidity and Capital Resources—Material Cash Requirements” in Item 7, Management’s Discussion and Analysis of Financial Condition and Results of Operations in the 2025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expand our clinical program with tegoprubart and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require additional financing in order to advance our drug product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 collaborations, licenses and other similar arrangements. The ability to raise substantial additional capital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our ongoing and future clinical trials of tegoprubart, including as such activities may be adversely impacted by global events or macroeconomic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macroeconomic trends and uncertainties, which continue to experience volatility and disruptions, including diminished liquidity and credit availability, declines in consumer confidence, declines in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growth, increases in unemployment rates, increases in inflation rates, rising interest rates and uncertainty about economic 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indications we decide to pursue for tegoprubart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regulatory review of any biologics license application, or BLA, we may submit for tegoprubart;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for tegoprubart,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tegoprubart;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collaborations, strategic partnerships, licenses and other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commercializing tegoprubart, if approved for commercial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Conditions in the financial and credit markets may also limit the availability of funding or increase the cost of funding. As a result of any of the foregoing factors, adequate additional funding may not be available to us on acceptable terms on a timely basis, or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The issuance of shares of common stock in our prior private placements and underwritten offerings diluted the ownership interests of our existing stockholders, and to the extent that we raise additional capital through the sale of additional equity, including through our “at-the-market” equity offering program, or convertible debt securities in the future, our stockholders’ ownership interests may be further diluted, and the terms of these securities may also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Part II, Item 1A. “Risk Factors” in this Quarterly Report on Form 10-Q for additional risks associated with our substantial capital requirements and the challenges we may face in raising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our net cash flow activity for the six months ended June 30, 2026 and 2025 (in thousands):</w:t>
      </w:r>
    </w:p>
    <w:tbl>
      <w:tblPr>
        <w:tblW w:w="6029"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operating activities used $45.3 million in cash. This net use of cash reflects our net loss of $70.7 million, adjusted for non-cash items of $33.4 million, consisting primarily of a $28.6 million change in the fair value of warrant liabilities and $5.4 million of stock-based compensation expense, partially offset by $0.8 million related to the accretion of investment discounts. Changes in operating assets and liabilities resulted in an $8.0 million use of cash, primarily driven by a decrease in accrued expenses of $6.0 million related to close-out activities for the Phase 2 BESTOW trial and an increase in prepaid expenses and other assets of $1.8 million related to Phase 3 kidney transplantation trial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operating activities used $33.8 million in cash. This net use of cash reflects our net loss of $17.7 million, adjusted for non-cash items of $17.8 million, consisting primarily of a $22.4 million change in the fair value of warrant liabilities and $1.1 million of accretion of investment discounts, partially offset by $5.6 million of stock-based compensation expense. Changes in operating assets and liabilities provided $1.7 million of cash, primarily driven by an increase in accrued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2026 was $29.2 million, consisting of $88.6 million from maturities of available-for-sale short-term investments, partially offset by $59.4 million in purchases of available-for-sale short-term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$18.9 million, consisting of $78.1 million from maturities of available-for-sale short-term investments, partially offset by $59.3 million in purchases of available-for-sale short-term investments.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consisted of $0.1 million from the exercise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consisted of $0.1 million from the exercise of stock options.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§229.305 of Regulation S-K, the Company, designated a Smaller Reporting Company as defined in §229.10(f)(1) of Regulation S-K, is not required to provide the disclosure required by this Item.</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management, with the participation of our principal executive officer and principal financial officer, evaluated the effectiveness of our disclosure controls and procedures.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Based on this evaluation, management concluded that our disclosure controls and procedures were effective at the reasonable assurance level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There have been no changes in our internal control over financial reporting (as defined in Rules 13a-15(f) or 15d-15(f) of the Exchange Act) during the quarter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14" w:name="part2_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we nor any of our subsidiaries is a party to, and none of their respective property is the subject of, any material legal proceeding, although we are from time-to-time party to legal proceedings that arise in the ordinary course of our business.</w:t>
      </w:r>
    </w:p>
    <w:p>
      <w:pPr>
        <w:pStyle w:val="TextBody"/>
        <w:bidi w:val="0"/>
        <w:spacing w:before="360" w:after="283"/>
        <w:jc w:val="left"/>
        <w:rPr>
          <w:rFonts w:ascii="Times New Roman" w:hAnsi="Times New Roman"/>
          <w:b/>
          <w:color w:val="000000"/>
          <w:sz w:val="20"/>
        </w:rPr>
      </w:pPr>
      <w:bookmarkStart w:id="15" w:name="part_2_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Related to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short operating history and shifts in our business strategy may make it difficult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biotechnology company. Our ongoing operations to date have been limited to organizing and staffing the Company, business planning, raising capital, acquiring and developing technology, identifying potential product candidates and pursuing non-clinical and clinical trials. We have not yet demonstrated our ability to successfully manufacture drug products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an early-stage business, we may encounter unforeseen expenses, difficulties, complications, delays and other known and unknown factors. To successfully market any of our current or future product candidates, we will need to transition from a company with a clinical development focus to a company capable of supporting commercial activities. We may not be successful in such a transition.</w:t>
      </w:r>
    </w:p>
    <w:p>
      <w:pPr>
        <w:pStyle w:val="TextBody"/>
        <w:bidi w:val="0"/>
        <w:spacing w:before="360" w:after="283"/>
        <w:jc w:val="left"/>
        <w:rPr>
          <w:rFonts w:ascii="Times New Roman" w:hAnsi="Times New Roman"/>
          <w:b/>
          <w:i/>
          <w:color w:val="080808"/>
          <w:sz w:val="20"/>
        </w:rPr>
      </w:pPr>
      <w:r>
        <w:rPr>
          <w:rFonts w:ascii="Times New Roman" w:hAnsi="Times New Roman"/>
          <w:b/>
          <w:i/>
          <w:color w:val="080808"/>
          <w:sz w:val="20"/>
        </w:rPr>
        <w:t>Our financial condition raises substantial doubt as to our ability to continue as a going concern if we are unable to raise additional financing to fund our operations.</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We have incurred significant net losses since our inception and expect to continue to incur losses for the foreseeable future. As of June 30, 2026, we had cash, cash equivalents and short-term investments of $88.8 million and an accumulated deficit of $471.9 million. We do not currently have sufficient cash on hand to fund our operations for at least twelve months from the date of issuance of the unaudited condensed consolidated financial statements included in this Quarterly Report on Form 10-Q. Accordingly, management has concluded that our plans do not alleviate the substantial doubt about our ability to continue as a going concern.</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Our unaudited condensed consolidated financial statements as of and for the three and six months ended June 30, 2026 have been prepared assuming we will continue as a going concern and do not include any adjustments that might result from the outcome of this uncertainty. The going concern conclusion, and any going concern qualification or explanatory paragraph that may be included in the report of our independent registered public accounting firm on our future annual financial statements, may make it more difficult and more expensive for us to raise additional capital, may adversely affect the terms on which we are able to raise capital (including causing substantial dilution to existing stockholders), and may cause our suppliers, collaborators, clinical trial sites, or other counterparties to be unwilling to continue to do business with us or to demand more onerous terms.</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Our ability to continue as a going concern will require us to obtain additional financing to fund our operations. We may seek to raise additional capital through the sale of equity or debt securities, entering into strategic collaborations or licensing arrangements, or other financing transactions. Additional financing may not be available to us on acceptable terms, or at all. If we are unable to raise capital when needed or on acceptable terms, we may be required to significantly delay,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scale back, or discontinue one or more of our research and development programs or other operations, relinquish rights to our technologies or product candidates on unfavorable terms, or liquidate and cease operations altogether. Any of these events could have a material adverse effect on our business, financial condition, results of operations, and prospects, and could cause the market price of our common stock to decline significantly or to lose all of its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operating losses since our inception and expect that we will continue to incur losses over the next several years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annual net operating losses in every year since our inception. We have no products approved for commercial sale and have not generated any revenue from product sales to date, and we continue to incur significant research and development and other general and administrative expenses related to our ongoing operations. If tegoprubart or any future product candidates we develop are not successfully developed and approved, we may never generate any revenue from sales of products. We have experienced recurring net losses and negative cash flows from operating activities since our inception. Our net loss for the six months ended June 30, 2026 was $70.7 million. As of June 30, 2026, we had cash and cash equivalents and short-term investments of $88.8 million, working capital of $81.3 million and an accumulated deficit of $471.9 million. We have not generated any revenues from product sales, have not completed the development of any product candidate and may never have a product candidate approved for commercialization. We expect it will be several years, if ever, before we have a product candidate ready for commercialization. We have financed our operations to date primarily through the sale of preferred and common stock, and the sale of warrants and we have devoted substantially all of our financial resources and efforts to research and development, including preclinical studies and our clinical trials. Our net losses may fluctuate significantly from quarter to quarter and year to year and will depend, in part, on the rate at which we incur expenses and our ability to generate revenue. Net losses and negative cash flows have had, and will continue to have, an adverse effect on our stockholders’ equity and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we will continue to incur significant expenses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non-clinical and clinical development of our product candidates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acquire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collaboration arrangements with regards to product discovery or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develop manufacturing processes</w:t>
      </w:r>
      <w:r>
        <w:rPr>
          <w:color w:val="080808"/>
        </w:rPr>
        <w:t xml:space="preserve"> </w:t>
      </w:r>
      <w:r>
        <w:rPr>
          <w:rFonts w:ascii="Times New Roman" w:hAnsi="Times New Roman"/>
          <w:color w:val="080808"/>
          <w:sz w:val="20"/>
        </w:rPr>
        <w:t>and/or enter into manufacturing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including if we do not have available financial resources to allow us to pursue clinical trials and other clinical development activities, and, even if we are successful,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funding to be able to complete the development of our lead drug candidate. If we are unable to raise capital, we will be forced to significantly alter our business strategy, substantially curtail our current operations, or liquidate and cease operations altogether.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view of our expectation to incur significant losses for the foreseeable future, we will be required to raise additional capital resources in the future in order to fund our operations. We can also provide no assurance that other funding will be available to us, will be obtained on terms favorable to us or will provide us with sufficient funds to meet our objectives. If we are unable to raise such capital, or if we are unable to do so on acceptable terms, we will be forced to significantly alter our business strategy, substantially curtail our current operations, or liquidate and cease operations altogether. For example, the initiation of a Phase 3 clinical trial in kidney transplantation and a potential company-sponsored study in islet cell transplantation would require substantial additional capital, and we would need to raise additional financing to initiate such trials. However, there can be no assurance such financing or other alternatives will be available to us on acceptable terms, or at all, for this trial or our other programs, which could force us to significantly alter our business strategy, substantially curtail our current operations, or liquidate and cease operations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funding needs may fluctuate significantly based on a number of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formulation development and manufacture of drug product to support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enter into additional collaboration arrangements regarding product discovery or development, or acquire or in-license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additional collaborations with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commercialization activities, including product sales,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formulation development, non-clinical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or are able to successfully commercialize one or more of our product candidates, additional financing may not be available to us on acceptable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addition to the dilution of our current stockholders’ ownership as a result of our prior private placements and underwritten offerings, we currently have a significant number of securities outstanding that are exercisable for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80,891,404 shares of our common stock outstanding and pre-funded warrants and common stock warrants to purchase 48,693,790 shares of our common stock outstanding. The issuance of shares of common stock in our prior private placements and underwritten offerings, diluted the ownership interests of our existing stockholders. The issuance of shares of common stock pursuant to our “at-the-market” equity offering program or upon exercise of pre-funded warrants or common warrants issued in our prior private placements, underwritten offerings and exchange agreement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any products that have gained regulatory approval. We have invested substantially all of our efforts and financial resources in the development of our lead drug candidate tegoprubart, including funding non-clinical studies, clinical trials, drug formulation and the manufacturing of clinical trial materials. Our ability to generate product revenues, which we do not expect will occur for several years, if ever, will depend heavily on the successful development and eventual commercialization of one or more drug candidates. As a result, our business is substantially dependent on our ability to successfully complete the development of and obtain approval for one of our potential future additional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additional financing in order to advance our drug product through clinical development, and to manufacture, obtain regulatory approval for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execute formulation, manufacturing, clinical, and non-clinical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drug products at commercial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confirm commercially acceptable stability (shelf-life) of our drug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in-license or acquire other product candidates and advance them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required regulatory approvals for the development and commercialization of tegoprubart or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robust sales, distribution and marketing capabilities, either on our own or in collaboration with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market acceptance for any approved and marketed drug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adequate product pricing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maintain any strategic relationships we elect to enter;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spending as costs and expenses increase due to product manufacturing, non-clinical development, clinical trials, regulatory approvals, post-marketing commitments,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unsuccessful in accomplishing these objectives, we may not be able to successfully develop and commercialize our or other product candidates, and our business will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health crises, including pandemics or epidemics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including but not limited to ongoing or planned research and development activities may be impacted by public health crises. For example, our business was adversely affected by the COVID-19 pandemic, which also caused significant disruption in the operations of third parties upon whom we rely. Other future public health crises, including any future pandemics or epidemics could have a similar impact on our business. We may experience, as we did with the COVID-19 pandemic, disruptions as a result of future public health crisis, such as a future pandemic or epidemic, that could severely impact our operations and development activities,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manufacturing of our drug candidates due to increased competition for manufacturing capacity as a result of the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development activities, including because of sickness of employees or their families or the desire of employees to avoid contact with large groups of people;</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U.S. Food and Drug Administration (“FDA”) to accept data from clinical trials in affected geographies;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procuring drug substance and/or in manufacturing drug product due to limitations in employee resources or forced furloughs at our contract manufacturing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initiation of future clinical trials, including delays in receiving authorization from local regulatory authorities to initiate such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disturbances in enrollment and trial execution, for example, because clinical trial sites may be unable to operate normally, or patients may elect to forego visits to medical facilities or undertake voluntary medical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factors, or other effects of any public health crisis, including any future pandemic or epidemic, could materially affect our business, possibly to a significant degree. The severity and duration of any such impacts cannot be predicted.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the financial and credit markets, continues to experience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For example, the initiation of a Phase 3 clinical trial in kidney transplantation and a potential company-sponsored study in islet cell transplantation would require substantial additional capital, and we would need to raise additional financing to initiate such trials. However, there can be no assurance such financing or other alternatives will be available to us on acceptable terms, or at all, for this trial or our other programs, which could force us to significantly alter our business strategy, substantially curtail our current operations, or liquidate and cease operations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result of high levels of inflation, we have experienced and may continue to experience cost increases, including costs of clinical trials and research and development of our product candidates, production costs, the price of labor, administration and other costs of doing business. Although we may continue to take measures to mitigate the impact of this inflation, if these measures are not effective, our business, financial condition, results of operations and liquidity could be materially adversely affected. Further, in an inflationary environment, cost increases may outpace our expectations, causing us to use our cash and other liquid assets faster than forecasted. If this happens, we may need to raise more capital to fund our operations than expected, and such capital may not be available in sufficient amounts or on reasonable terms,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conditions in the financial markets, including bank failures, could adversely affect our liquidity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maintain domestic cash deposits, for short term operating requirements, in Federal Deposit Insurance Corporation (“FDIC”) insured banks, which exceed the FDIC insurance limits. Our additional cash and cash equivalents are held in accounts managed by third</w:t>
        <w:noBreakHyphen/>
        <w:t xml:space="preserve">party financial institutions and consist primarily of cash invested in money market funds and government bonds. Bank failures, events involving limited liquidity, defaults, non-performance or other adverse developments that affect financial institutions, or concerns or rumors about such events, may lead to widespread demands for customer withdrawals and liquidity constraints that may result in market-wide liquidity problems. For example, on March 10, 2023, Silicon Valley Bank failed and was taken into receivership by the FDIC. At that time, we maintained deposits amounting to approximately 78% of our total cash at Silicon Valley Bank. On March 26, 2023, the assets, deposits and loans of Silicon Valley Bank were acquired by First-Citizens Bank &amp; Trust Company. In response to the failure of Silicon Valley Bank, we diversified our cash deposits into money market funds, U.S. treasuries and U.S. government agency securities and, as of the date of this report, our total cash maintained in FDIC insured banking accounts is less than 3% of our total cash and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and short-term investments.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any applicable foreign government in the future or that any bank or financial institution with which we do business will be able to obtain needed liquidity from other banks, government institutions or by acquisition in the event of a future failure or liquidity crisis. Additionally, our cash investments outside of FDIC insured bank accounts are subject to general credit, liquidity, market, and interest rate risks. If the carrying value of an investment exceeds the fair value, and the decline in fair value is deemed to be other-than-temporary, we are required to write down the value of the investment, which could materially harm our results of operations and financial condition and could limit our access to liquidity.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 the United States and/or that subsequent studies will not match results seen in prior studies. It is impossible to predict when or if any of our product candidates will prove effective, safe and well-tolerated in humans or will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reaching agreement with the FDA or a comparable foreign regulatory authority on a trial design that we want to execute;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obtaining authorization to commence a trial or inability to comply with conditions imposed by a regulatory authority regarding the scope or design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completing formulation development and manufacturing as a prerequisite to commencing clinical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delay, or failure in identifying and maintaining a sufficient number of trial sites, many of which may already be engaged in other 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recruiting and enrolling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having subjects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and investigators deviating from trial protocol, failing to conduct the trial in accordance with regulatory requirements,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or difficulties in the enrollment of patients that our product candidates are designed to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difficulty partnering with experienced CROs and study sites that can identify patients that our product candidates are designed to target and run our clinical trials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(“IRBs”)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changes in governmental regulations or administrative actions. For example, the Trump administration issued an Executive Order that paused the FDA’s rulemaking ability and could affect recently finalized FDA rules that have not yet taken effect. The extent to which such existing or future executive orders impact the healthcare regulatory environment remains uncertain and could materially impact our development and commercialization activities. In addition, our development and commercialization activities could be harmed or delayed by a shutdown of the U.S. government or reduction in funding or staffing at U.S. government agencies, including the FDA and SEC. For example, a prolonged shutdown or the reduction of funding or staffing at the FDA may significantly delay the FDA's ability to timely review and process any submissions we may file or cause other regulatory delays, which could materially and adversely affect our business. Further, government shutdowns and/or employee terminations or resignations at the SEC could impact our ability to access the public markets and obtain necessary capital in order to properly capitalize and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that would reduce the potential market for our products or inhibit our ability to successfully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restrictions and/or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 and expenses for the development of our product candidates could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their projected schedules.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identify and maintain a sufficient number of trial sites, many of which may already be engaged in other clinical trial programs, including some that may be for the same disease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 of our clinical trials, or results that are inconsistent with earlier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feedback from regulatory authorities, IRBs, ethics committees (“ECs”), or data safety monitoring boards, or results from earlier stage or concurrent non-clinical and clinical trials, that might require modifications to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by regulatory authorities, IRBs, ECs, or the Company, or recommendations by data safety monitoring boards, to suspend or terminate clinical trials at any time for safety issues or for any other reason;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unacceptable risk-benefit profile or unforeseen safety issues or adverse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clinical trials may result in increased development costs for our product candidates, which would cause the value of the Company to decline and limit our ability to obtain additional financing.</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conduct clinical trials in some jurisdictions outside of the United States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clinical trial sites in regions outside the United States, including Australia, Canada, Brazil, the European Union and the United Kingdom, and we will continue to conduct future clinical trials in these markets. Our ability to conduct clinical trials at sites located outside the United States is subject to numerous risks unique to conducting business in jurisdictions outside the United States,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qualified CROs, physicians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local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complying with various and complex import laws and regulations when shipping drugs to certain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burden of complying with a variety of laws, medical standards and regulatory requirements, including the regulation of pharmaceutical and biotechnology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consistency in standard of care from country to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instability in economic or political conditions, including inflation, recession and actual or anticipated military conflicts, social upheaval or political uncertainty;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country or regional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ongoing conflict in Ukraine and the resulting imposition of economic and other sanctions by the United States, European Union and many other nations on Russia, individuals in Russia, Russian businesses and the Russian central bank, or any escalation of tensions in the region, could have a broader impact that expands into other countries. The ongoing conflict in the Middle East could have similar impacts. Although the length and impact of any military action and expansion of the conflict into other countries are highly unpredictable, if either conflict spreads or has effects on additional countries, we may experience disruptions or delays in our plans to conduct clinical trial activities in affected regions outside the United States.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severe adverse events or unacceptable side effects are identified during the development of our product candidates, we may need to abandon or limit our development of some of our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associated with severe adverse events or unacceptable side effects in non-clinical or clinical trials or have characteristics that are unexpected, we may need to interrupt, delay or abandon their development or limit development to more narrow uses or subpopulations in which the adverse event or undesirable side effects or other characteristics are less prevalent, less severe or more acceptable from a risk-benefit perspective. Any occurrences of clinically significant adverse events or unacceptable side effects with our product candidates may harm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an early</w:t>
        <w:noBreakHyphen/>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executives and key employees and to attract, retain and motivate qualified personnel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scientific, clinical, manufacturing, sales and marketing personnel is critical to our success. Due to the small size of the Company and the limited number of employees, each of our executives and key 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Regulatory Approval of Our Product Candidates and Other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must be approved by the FDA pursuant to a new drug application in the United States and by other regulatory authorities outside the United States prior to commercialization in the respective regions. The process of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our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 The regulatory approval process outside the United States generally includes all the risks associated with obtaining FDA approval. In addition to regulatory approval, in many countries outside the United States, it is required that the product be approved for reimbursement before the product can be approved for sale in that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our product candidates, the commercial prospects for our product candidates may be harmed and our ability to generate revenues will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the activities associated with their development and commercialization, including their testing, manufacture, recordkeeping, labeling, storage, approval, advertising, promotion, sale and distribution, are subject to comprehensive regulations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Current Good Manufacturing Practices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our products,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Legislation regulating the pharmaceutical and healthcare industries may increase the difficulty and cost for us to obtain marketing approval of and commercialize our product candidates and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For example, in 2022, the U.S. government enacted the Inflation Reduction Act of 2022, which, among other things, includes policies that are designed to have a direct impact on drug prices and reduce drug spending by the federal government, which took effect in 2023. The Inflation Reduction Act of 2022 requires drug manufacturers to pay rebates to Medicare if they increase prices faster than inflation for certain drugs used by Medicare beneficiaries. The mechanics of the rebate calculation are similar to those of the Medicaid rebate, but the expansion of inflation-based rebates may further complicate pricing strategies. In addition, in 2025, President Trump issued executive orders focused on lowering drug prices in the U.S. It is unclear how these drug pricing initiatives will affect what actions will be implemented by the Department of Health and Human Services, Centers for Medicare and Medicaid Services (“CMS”), or FDA, and how those actions will impact our industry and our business. The Inflation Reduction Act of 2022 or other similar legislation could have the effect of reducing the prices we can charge and reimbursement we receive for our products, thereby reducing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Recent administrative law cases decided by the U.S. Supreme Court in 2024 may create uncertainty with respect to actions taken by regulatory agencies to interpret, implement and enforce federal legislation. For example, in its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w:t>
      </w:r>
      <w:r>
        <w:rPr>
          <w:rFonts w:ascii="Times New Roman" w:hAnsi="Times New Roman"/>
          <w:i/>
          <w:color w:val="000000"/>
          <w:sz w:val="20"/>
        </w:rPr>
        <w:t>Loper</w:t>
      </w:r>
      <w:r>
        <w:rPr>
          <w:rFonts w:ascii="Times New Roman" w:hAnsi="Times New Roman"/>
          <w:color w:val="000000"/>
          <w:sz w:val="20"/>
        </w:rPr>
        <w:t xml:space="preserve"> decision”), the U.S. Supreme Court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legal challenges to regulations and guidance issued by federal agencies that are currently applicable to or will be applicable to our business, including those issued by the FDA and the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CMS. Further,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delays in or other impacts to the agency rulemaking process, which could have a material adverse effect on our business, financial condition and results of operations.</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Laws, restrictions, and other regulatory measures imposed in international jurisdictions present similar challenges to those in the United States, including increased difficulty and cost in obtaining marketing approval and commercializing of our product candidates, as well as potential limitations on the prices we may obtain.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 Claims Act (“FCA”), the federal Anti-Kickback Statute, the federal Health Insurance Portability and Accountability Act of 1996 (“HIPAA”), patient data privacy and security regulation, including, in the United States, HIPAA, as amended by the Health Information Technology for Economic and Clinical Health Act of 2009 (“HITECH”), the federal transparency requirements under the Physician Payments Sunshine Act, and analogous state, local or foreign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Laws, restrictions, and other regulatory measures are also imposed by anti-kickback, fraud and abuse, and other healthcare laws and regulations in international jurisdictions, and in those jurisdictions we face the same issues as in the United States regarding exposure to criminal sanctions, civil penalties, program exclusion, contractual damages, reputational harm, and diminished profits and future earnings.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information systems and those of our third-party collaborators, service providers, contractors or consultants, which may fail or suffer cybersecurity incidents that could result in a material disruption of our development programs or loss of data and have a material adverse effect on our reputation,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our information systems and infrastructure to effectively manage our business, including our clinical trials and studies. Our information systems and infrastructure, and those of our current or future third-party collaborators, service providers, contractors and consultants are vulnerable to damage from cybersecurity incidents, including computer viruses, denial-of-service attacks, hacking, phishing and other social engineering attacks, unauthorized access or use resulting from malware, as well as disruptions due to natural disasters, terrorism, war, mistakes or technical errors, including due to software updates and telecommunication and electrical failures. We may also experience cybersecurity incidents stemming from persons inside our organizations (including employees or contractors), or other persons with access to information systems inside our organization. Attacks on information systems are increasing in their frequency, levels of persistence, sophistication and intensity, and they are being conducted by increasingly sophisticated and organized foreign governments, groups and individuals with a wide range of motives and expertise. Further, cybersecurity threats and the techniques used in cyberattacks change, develop and evolve rapidly, including from emerging technologies, such as advanced forms of artificial intelligence and quantum computing.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Information system disruptions, even if inadvertent, may limit or disable our access or important third parties’ access to our systems. While to our knowledge none of the cybersecurity incidents we have experienced to date have had a material adverse impact on our business, financial condition or operations, if such an event were to occur and cause interruptions in our operations or the operations of third-party collaborators, service providers, contractors or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systems, our efforts to address these problems may not be successful, and these problems could result in unexpected interruptions, delays, cessation of service and other harm to our business and our competitive position. Moreover, data security incidents and other security breaches can be difficult to detect, and any delay in identifying them may lead to increased harm.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compromise of privacy, security, integrity or confidentiality of sensitive information related to our business or failure to comply with confidentiality and data privacy obligations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large amounts of confidential information, including intellectual property, proprietary business information and personal information. 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information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be found to have violated applicable U.S. and international privacy, data protection and other laws, which could subject us to litigation and governmental investigations and proceedings by federal, state and local regulatory entities in the U.S. and by international regulatory entities, resulting in exposure to material civil and/or criminal liability,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cybersecurity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data collection is governed by restrictive regulations governing the collection, use, processing and cross-border transfer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collect, process, use or transfer personal information from individuals located in the European Economic Area (the “EEA”) in connection with our business, including in connection with conducting clinical trials in the EEA. Additionally, if any of our product candidates are approved, we may seek to commercialize those products in the EEA. The collection and use of personal health data in the EEA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EEA and other states in the EEA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the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any of our product candidates receives marketing approval, we may fail to achieve the degree of market acceptance by physicians, patients, third-party payers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and safety and potential advantages and disadvantages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our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and adequate reimbursement, including patient cost-sharing programs such as copays and deductibles;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develop or partner with third-party collaborators to develop companion diagnostics;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 required to be recalled or changes may be required to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creation of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distribution or use of the product via a Risk Evaluation and Mitigation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have a material and adverse effect on our operations and business. The commercial prospects for our product candidates may be harmed and our ability to generate revenues will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competing products before or more successfully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Specifically, there are a number of companies developing competing anti-CD40 and anti-CD40L therapeutics in clinical trials for transplant, autoimmune or central nervous system indications, including: Novartis, Sanofi, UCB, Amgen (post-acquisition of Horizon Therapeutics), Bristol Myers Squibb, Tonix Pharmaceuticals, Veloxis Pharmaceuticals and Kiniksa Pharmaceuticals. Most of these companies are larger than Eledon and have significantly greater resources to develop their drug candidates. We also face competition from companies developing novel immunosuppressive agents and other approaches for transplantation, including LifeMine Therapeutics, which is developing a novel calcineurin activation inhibitor for transplant indications.</w:t>
      </w:r>
    </w:p>
    <w:p>
      <w:pPr>
        <w:pStyle w:val="TextBody"/>
        <w:bidi w:val="0"/>
        <w:spacing w:before="80" w:after="283"/>
        <w:jc w:val="left"/>
        <w:rPr>
          <w:rFonts w:ascii="Times New Roman" w:hAnsi="Times New Roman"/>
          <w:sz w:val="20"/>
        </w:rPr>
      </w:pPr>
      <w:r>
        <w:rPr>
          <w:rFonts w:ascii="Times New Roman" w:hAnsi="Times New Roman"/>
          <w:color w:val="000000"/>
          <w:sz w:val="20"/>
        </w:rPr>
        <w:t>If approved, we expect that tegoprubart will face competition from numerous FDA-approved therapeutics for the prevention of transplant rejection, including PROGRAF</w:t>
      </w:r>
      <w:r>
        <w:rPr>
          <w:rFonts w:ascii="Times New Roman" w:hAnsi="Times New Roman"/>
          <w:color w:val="000000"/>
          <w:sz w:val="11"/>
        </w:rPr>
        <w:t>®</w:t>
      </w:r>
      <w:r>
        <w:rPr>
          <w:rFonts w:ascii="Times New Roman" w:hAnsi="Times New Roman"/>
          <w:color w:val="000000"/>
          <w:sz w:val="20"/>
        </w:rPr>
        <w:t>, ASTAGRAF XL</w:t>
      </w:r>
      <w:r>
        <w:rPr>
          <w:rFonts w:ascii="Times New Roman" w:hAnsi="Times New Roman"/>
          <w:color w:val="000000"/>
          <w:sz w:val="11"/>
        </w:rPr>
        <w:t>®</w:t>
      </w:r>
      <w:r>
        <w:rPr>
          <w:rFonts w:ascii="Times New Roman" w:hAnsi="Times New Roman"/>
          <w:color w:val="000000"/>
          <w:sz w:val="20"/>
        </w:rPr>
        <w:t>, ENVARSUS XR</w:t>
      </w:r>
      <w:r>
        <w:rPr>
          <w:rFonts w:ascii="Times New Roman" w:hAnsi="Times New Roman"/>
          <w:color w:val="000000"/>
          <w:sz w:val="11"/>
        </w:rPr>
        <w:t>®</w:t>
      </w:r>
      <w:r>
        <w:rPr>
          <w:rFonts w:ascii="Times New Roman" w:hAnsi="Times New Roman"/>
          <w:color w:val="000000"/>
          <w:sz w:val="20"/>
        </w:rPr>
        <w:t>, NULOJIX</w:t>
      </w:r>
      <w:r>
        <w:rPr>
          <w:rFonts w:ascii="Times New Roman" w:hAnsi="Times New Roman"/>
          <w:color w:val="000000"/>
          <w:sz w:val="11"/>
        </w:rPr>
        <w:t>®</w:t>
      </w:r>
      <w:r>
        <w:rPr>
          <w:rFonts w:ascii="Times New Roman" w:hAnsi="Times New Roman"/>
          <w:color w:val="000000"/>
          <w:sz w:val="20"/>
        </w:rPr>
        <w:t>, CELLCEPT</w:t>
      </w:r>
      <w:r>
        <w:rPr>
          <w:rFonts w:ascii="Times New Roman" w:hAnsi="Times New Roman"/>
          <w:color w:val="000000"/>
          <w:sz w:val="11"/>
        </w:rPr>
        <w:t>®</w:t>
      </w:r>
      <w:r>
        <w:rPr>
          <w:rFonts w:ascii="Times New Roman" w:hAnsi="Times New Roman"/>
          <w:color w:val="000000"/>
          <w:sz w:val="20"/>
        </w:rPr>
        <w:t>, MYFORTIC</w:t>
      </w:r>
      <w:r>
        <w:rPr>
          <w:rFonts w:ascii="Times New Roman" w:hAnsi="Times New Roman"/>
          <w:color w:val="000000"/>
          <w:sz w:val="11"/>
        </w:rPr>
        <w:t>®</w:t>
      </w:r>
      <w:r>
        <w:rPr>
          <w:rFonts w:ascii="Times New Roman" w:hAnsi="Times New Roman"/>
          <w:color w:val="000000"/>
          <w:sz w:val="20"/>
        </w:rPr>
        <w:t>, and numerous other branded and generic immunosuppressive agents. Multiple companies are working on islet cell and kidney transplant solutions that may ultimately potentially negate the need for immunosuppressive agents in these indications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tegoprubart will face competition from FDA-approved therapeutics for the treatment of ALS including RADICAVA®,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Argenx, Coya Therapeutics and Cytokinetics, are also working on competing ALS pharmaceutical, gene therapy and cell therapy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Generic products are currently available, with additional generic products expected to become available over the coming years, potentially creating pricing pressure. If our product candidates achieve marketing approval, we expect that they will be priced at a significant premium over competitive generic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extent of reimbursement by governmental and private payers is essential for most patients to be able to afford expensive treatments. Sales of our product candidates will depend substantially, both domestically and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tegoprubart and other product candidates. These materials are custom-made and available from only a limited number of sources. Although we believe that our third-party suppliers maintain a significant supply of these materials and equipment on hand, any sustained disruption in this supply,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For example, these third parties experienced disruptions in their operations in conjunction with the COVID-19 pandemic. Additionally, on April 16, 2025, the U.S. Department of Commerce announced an investigation under Section 232 of the Trade Expansion Act of 1962 into imports of pharmaceuticals and pharmaceutical ingredients, including finished drug products, medical countermeasures, critical inputs such as active pharmaceutical ingredients, and key starting materials, and derivative products of those items. The investigation will examine the impact of these imports on U.S. national security culminating in a decision by the President whether to take action to remedy any identified threats, including by imposing additional tariffs. Further, the U.S. government has proposed a 100% tariff on branded and patented pharmaceutical products. All of these current and threatened tariffs are subject to implementation or change with little notice. Any delay, performance failure, or increase in costs on the part of our existing or future manufacturers of drug substance or drug products could delay or increase the cost of our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third parties we rely on for manufacturing and packaging are also subject to regulatory review, and any regulatory compliance problems with these third parties could significantly delay or disrupt our clinical or commercialization activities.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 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relevant countries with respect to our proprietary technology and products. We seek to protect our proprietary position by filing patent applications in the United States and internationally that are related to our novel technologies and product candidates. This patent portfolio includes issued patents and pending patent applications covering pharmaceutical compositions and methods of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acquired rights to tegoprubart and other product candidates through a license agreement with The ALS Therapy Development Institute and a manufacturing know-how rights license agreement with Lonza Sales AG for the use of certain processes and know-how related to the manufacture of tegoprubart, and may in the future enter into other license agreements with third parties for other intellectual property rights or assets. These license agreements do, and future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operations, which could materially harm our business. Claims that we have misappropriated the confidential information or trade secrets of third parties could have a similar negative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license certain intellectual property from third parties, and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of misappropriation of trade secrets from former employers of Company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our stock price to be volatile, and the market price of our common stock may drop unexpectedly.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regarding our financial condition and our ability to raise sufficient capital to fund our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approvals for our product candidates or other product candidates, and delays or failures to obtain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of our product candidates, if approved, to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manufacturing our approved products, if any,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current and any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about the ability of tegoprubart to prevent rejection in connection with kidney, xeno or islet cell transplantations;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or termination of, key agreements, including key commercial partner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of, material developments in, or conclusion of litigation to enforce or defend any of our intellectual property rights or defend against the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technological innovations or new therapies that compete with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estimates or recommendations by securities analysts, if any, who cover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industry-specific economic conditions that may affect our research and development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period-to-period fluctuations in our financial results;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TextBody"/>
        <w:bidi w:val="0"/>
        <w:spacing w:before="360" w:after="283"/>
        <w:jc w:val="left"/>
        <w:rPr>
          <w:rFonts w:ascii="Times New Roman" w:hAnsi="Times New Roman"/>
          <w:sz w:val="20"/>
        </w:rPr>
      </w:pPr>
      <w:r>
        <w:rPr>
          <w:rFonts w:ascii="Times New Roman" w:hAnsi="Times New Roman"/>
          <w:b/>
          <w:i/>
          <w:color w:val="080808"/>
          <w:sz w:val="20"/>
        </w:rPr>
        <w:t>We have previously identified and remediated a material weakness in our internal control over financial reporting. If we fail to maintain effective internal controls, we may conclude that our internal control over financial reporting is not effective, which could adversely affect our ability to report our results of operations and financial condition accurately and in a timely manner.</w:t>
      </w:r>
      <w:r>
        <w:rPr>
          <w:rFonts w:ascii="Times New Roman" w:hAnsi="Times New Roman"/>
          <w:color w:val="080808"/>
          <w:sz w:val="20"/>
        </w:rPr>
        <w:t xml:space="preserve"> </w:t>
      </w:r>
    </w:p>
    <w:p>
      <w:pPr>
        <w:pStyle w:val="TextBody"/>
        <w:bidi w:val="0"/>
        <w:spacing w:before="120" w:after="283"/>
        <w:jc w:val="left"/>
        <w:rPr>
          <w:rFonts w:ascii="Times New Roman" w:hAnsi="Times New Roman"/>
          <w:color w:val="080808"/>
          <w:sz w:val="20"/>
        </w:rPr>
      </w:pPr>
      <w:r>
        <w:rPr>
          <w:rFonts w:ascii="Times New Roman" w:hAnsi="Times New Roman"/>
          <w:color w:val="080808"/>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U.S. generally accepted accounting principles (“GAAP”). Our management is likewise required, on a quarterly basis, to evaluate the effectiveness of our disclosure controls and procedures, and to disclose any material weaknesses and any changes in our internal control over financial reporting that have materially affected, or are reasonably likely to materially affect, such controls. Ensuring that we will have adequate internal financial and accounting controls and procedures in place so that we can produce accurate financial statements on a timely basis is a costly and time-consuming effort that needs to be re-evaluated frequently.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80808"/>
          <w:sz w:val="20"/>
        </w:rPr>
      </w:pPr>
      <w:r>
        <w:rPr>
          <w:rFonts w:ascii="Times New Roman" w:hAnsi="Times New Roman"/>
          <w:color w:val="080808"/>
          <w:sz w:val="20"/>
        </w:rPr>
        <w:t xml:space="preserve">We have previously identified and remediated a material weakness in our internal controls over financial reporting, including as described in Part II Item 9A, Controls and Procedures of the Annual Report on Form 10-K for the year ended December 31, 2025, filed on March 19, 2026.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the Company concluded that as of December 31, 2025 its internal control over financial reporting was effective, the Company cannot provide assurances that the remediated material weakness will not reoccur, or that a new material weakness will not occur in the future. The existence of any material weakness could require management to devote significant time and incur significant expense to remediate any such material weakness and management may not be able to remediate any such material weakness in a timely manner. If we fail to maintain effective internal controls or any such material weakness is not remediated effectively or in a sufficient amount of time, our ability to report our results of operations and financial condition accurately and in a timely manner could be adversely impacted. Further, we could be impacted by a material misstatement of our annual or interim financial statements that was not prevented or detected on a timely basis, which could have a negative effect on our results of operations and/or the trading price of our securities.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the Company’s charter or bylaws.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our future earnings to fund the development and growth of our business. As a result, capital appreciation, if any, of our common stock will be the sole source of gain, if any, for any stockholders for the foreseeable future.</w:t>
      </w:r>
    </w:p>
    <w:p>
      <w:pPr>
        <w:pStyle w:val="TextBody"/>
        <w:bidi w:val="0"/>
        <w:spacing w:before="360" w:after="283"/>
        <w:jc w:val="left"/>
        <w:rPr>
          <w:rFonts w:ascii="Times New Roman" w:hAnsi="Times New Roman"/>
          <w:b/>
          <w:color w:val="000000"/>
          <w:sz w:val="20"/>
        </w:rPr>
      </w:pPr>
      <w:bookmarkStart w:id="16" w:name="part_2_item_2_unregistered_sale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part_2_item_3_default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part_2_item_4_mine_safety"/>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_2_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officers or directors adopted, modified or terminated any contract, instruction or written plan for the purchase or sale of our securities that was intended to satisfy the affirmative defense conditions of Rule 10b5-1(c) or constituted a “non-Rule 10b5-1 trading arrangement.”</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3"/>
        <w:gridCol w:w="236"/>
        <w:gridCol w:w="9196"/>
      </w:tblGrid>
      <w:tr>
        <w:trPr/>
        <w:tc>
          <w:tcPr>
            <w:tcW w:w="7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96" w:type="dxa"/>
            <w:tcBorders/>
            <w:vAlign w:val="center"/>
          </w:tcPr>
          <w:p>
            <w:pPr>
              <w:pStyle w:val="TableContents"/>
              <w:bidi w:val="0"/>
              <w:spacing w:before="0" w:after="283"/>
              <w:jc w:val="left"/>
              <w:rPr>
                <w:sz w:val="4"/>
                <w:szCs w:val="4"/>
              </w:rPr>
            </w:pPr>
            <w:r>
              <w:rPr>
                <w:sz w:val="4"/>
                <w:szCs w:val="4"/>
              </w:rPr>
            </w:r>
          </w:p>
        </w:tc>
      </w:tr>
      <w:tr>
        <w:trPr/>
        <w:tc>
          <w:tcPr>
            <w:tcW w:w="7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80"/>
                  <w:sz w:val="20"/>
                  <w:u w:val="single"/>
                </w:rPr>
                <w:t>Restated Certificate of Incorporation of Novus Therapeutics, Inc., a Delaware corporation, dated September 22, 2014 (filed with the SEC as Exhibit 3.1 on the Company’s Current Report on Form 8-K filed on September 26, 2014)</w:t>
              </w:r>
            </w:hyperlink>
            <w:r>
              <w:rPr>
                <w:rFonts w:ascii="Times New Roman" w:hAnsi="Times New Roman"/>
                <w:color w:val="0000FF"/>
                <w:sz w:val="20"/>
                <w:u w:val="single"/>
              </w:rPr>
              <w:t>.</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3.2</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Certificate of Incorporation of Novus Therapeutics, Inc. (effecting, among other things a reverse stock-split), filed with the Secretary of the State of Delaware on May 9, 2017 (filed with the SEC as Exhibit 3.1 on the Company’s Current Report on Form 8-K filed on May 15, 2017).</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3.3</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Certificate of Incorporation of Novus Therapeutics, Inc. (effecting, among other things a change in the corporation’s name to “Novus Therapeutics, Inc.”), filed with the Secretary of the State of Delaware on May 9, 2017 (filed with the SEC as Exhibit 3.2 on the Company’s Current Report on Form 8-K filed on May 15, 2017).</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3.4</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Restated Certificate of Incorporation of Novus Therapeutics, Inc., (effecting, among other things a reverse stock-split) effective as of October 5, 2020 (filed with the SEC as Exhibit 3.1 on the Company’s Current Report on Form 8-K filed on October 6, 2020).</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3.5</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80"/>
                  <w:sz w:val="20"/>
                  <w:u w:val="single"/>
                </w:rPr>
                <w:t>Certificate of Amendment to the Restated Certificate of Incorporation of Novus Therapeutics, Inc., (effecting, among other things a change in the corporation’s name to “Eledon Pharmaceuticals, Inc.”) effective as of January 5, 2021 (filed with the SEC as Exhibit 3.1 on the Company’s Current Report on Form 8-K filed on January 5, 2021)</w:t>
              </w:r>
            </w:hyperlink>
            <w:r>
              <w:rPr>
                <w:rFonts w:ascii="Times New Roman" w:hAnsi="Times New Roman"/>
                <w:color w:val="0000FF"/>
                <w:sz w:val="20"/>
                <w:u w:val="single"/>
              </w:rPr>
              <w:t>.</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3.6</w:t>
            </w:r>
          </w:p>
          <w:p>
            <w:pPr>
              <w:pStyle w:val="TableContents"/>
              <w:bidi w:val="0"/>
              <w:spacing w:before="0" w:after="283"/>
              <w:ind w:left="0" w:right="0" w:firstLine="90"/>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the Restated Certificate of Incorporation, as amended, of Eledon Pharmaceuticals, Inc., (effecting an increase in authorized shares of common stock) effective June 10, 2025 (filed with the SEC as Exhibit 3.1 on the Company’s Current Report on Form 8-K filed on June 12, 2025).</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3.7</w:t>
            </w:r>
          </w:p>
          <w:p>
            <w:pPr>
              <w:pStyle w:val="TableContents"/>
              <w:bidi w:val="0"/>
              <w:spacing w:before="0" w:after="283"/>
              <w:ind w:left="0" w:right="0" w:firstLine="90"/>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the Restated Certificate of Incorporation, as amended, of Eledon Pharmaceuticals, Inc., (providing for exculpation of certain officers) effective June 10, 2025 (filed with the SEC as Exhibit 3.2 on the Company’s Current Report on Form 8-K filed on June 12, 2025).</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3.8</w:t>
            </w:r>
          </w:p>
          <w:p>
            <w:pPr>
              <w:pStyle w:val="TableContents"/>
              <w:bidi w:val="0"/>
              <w:spacing w:before="0" w:after="283"/>
              <w:ind w:left="0" w:right="0" w:firstLine="90"/>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jc w:val="left"/>
              <w:rPr/>
            </w:pPr>
            <w:hyperlink r:id="rId9">
              <w:r>
                <w:rPr>
                  <w:rStyle w:val="InternetLink"/>
                  <w:rFonts w:ascii="Times New Roman" w:hAnsi="Times New Roman"/>
                  <w:color w:val="0000FF"/>
                  <w:sz w:val="20"/>
                  <w:u w:val="single"/>
                </w:rPr>
                <w:t>Certificate of Amendment to the Restated Certificate of Incorporation, as amended, of Eledon Pharmaceuticals, Inc., (effecting an increase in authorized shares of common stock) effective June 22, 2026 (filed with the SEC as Exhibit 3.1 on the Company’s Current Report on Form 8-K filed on June 22, 2026).</w:t>
              </w:r>
            </w:hyperlink>
          </w:p>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3.9</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Designations of Series X Convertible Preferred Stock (filed with the SEC as Exhibit 3.1 to the Company’s Current Report on Form 8-K filed on February 19, 2020).</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3.10</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Designations of Series X</w:t>
              </w:r>
            </w:hyperlink>
            <w:hyperlink r:id="rId12">
              <w:r>
                <w:rPr>
                  <w:rStyle w:val="InternetLink"/>
                  <w:rFonts w:ascii="Times New Roman" w:hAnsi="Times New Roman"/>
                  <w:color w:val="0000FF"/>
                  <w:sz w:val="13"/>
                  <w:u w:val="single"/>
                </w:rPr>
                <w:t>1</w:t>
              </w:r>
            </w:hyperlink>
            <w:hyperlink r:id="rId13">
              <w:r>
                <w:rPr>
                  <w:rStyle w:val="InternetLink"/>
                  <w:rFonts w:ascii="Times New Roman" w:hAnsi="Times New Roman"/>
                  <w:color w:val="0000FF"/>
                  <w:sz w:val="20"/>
                  <w:u w:val="single"/>
                </w:rPr>
                <w:t xml:space="preserve"> Convertible Preferred Stock (filed with the SEC as Exhibit 3.1 to the Company’s Current Report on Form 8-K filed on September 15, 2020).</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Bylaws of Eledon Pharmaceuticals, Inc. (filed with the SEC as Exhibit 3.2 to the Company’s Current Report on Form 8-K filed on January 5, 2021).</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1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w:anchor="eld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91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31.2*</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w:anchor="eld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color w:val="000000"/>
              </w:rPr>
            </w:pPr>
            <w:r>
              <w:rPr>
                <w:color w:val="000000"/>
              </w:rPr>
              <w:t>  </w:t>
            </w:r>
            <w:r>
              <w:rPr>
                <w:rFonts w:ascii="Times New Roman" w:hAnsi="Times New Roman"/>
                <w:color w:val="000000"/>
                <w:sz w:val="20"/>
              </w:rPr>
              <w:t>32.1**</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w:anchor="eld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color w:val="000000"/>
              </w:rPr>
            </w:pPr>
            <w:r>
              <w:rPr>
                <w:color w:val="000000"/>
              </w:rPr>
              <w:t>  </w:t>
            </w:r>
            <w:r>
              <w:rPr>
                <w:rFonts w:ascii="Times New Roman" w:hAnsi="Times New Roman"/>
                <w:color w:val="000000"/>
                <w:sz w:val="20"/>
              </w:rPr>
              <w:t>32.2**</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hyperlink w:anchor="eld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101.INS</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101.SCH</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pPr>
            <w:r>
              <w:rPr/>
              <w:t> </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104</w:t>
            </w:r>
          </w:p>
        </w:tc>
        <w:tc>
          <w:tcPr>
            <w:tcW w:w="236" w:type="dxa"/>
            <w:tcBorders/>
            <w:tcMar>
              <w:top w:w="0" w:type="dxa"/>
              <w:left w:w="0" w:type="dxa"/>
              <w:bottom w:w="0" w:type="dxa"/>
              <w:right w:w="0" w:type="dxa"/>
            </w:tcMar>
            <w:vAlign w:val="center"/>
          </w:tcPr>
          <w:p>
            <w:pPr>
              <w:pStyle w:val="TableContents"/>
              <w:bidi w:val="0"/>
              <w:spacing w:before="0" w:after="283"/>
              <w:ind w:left="0" w:right="0" w:firstLine="90"/>
              <w:jc w:val="left"/>
              <w:rPr/>
            </w:pPr>
            <w:r>
              <w:rPr/>
              <w:t> </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tbl>
      <w:tblPr>
        <w:tblW w:w="2233" w:type="dxa"/>
        <w:jc w:val="left"/>
        <w:tblInd w:w="0" w:type="dxa"/>
        <w:tblLayout w:type="fixed"/>
        <w:tblCellMar>
          <w:top w:w="28" w:type="dxa"/>
          <w:left w:w="28" w:type="dxa"/>
          <w:bottom w:w="28" w:type="dxa"/>
          <w:right w:w="28" w:type="dxa"/>
        </w:tblCellMar>
      </w:tblPr>
      <w:tblGrid>
        <w:gridCol w:w="331"/>
        <w:gridCol w:w="146"/>
        <w:gridCol w:w="175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575" w:type="dxa"/>
        <w:jc w:val="left"/>
        <w:tblInd w:w="0" w:type="dxa"/>
        <w:tblLayout w:type="fixed"/>
        <w:tblCellMar>
          <w:top w:w="28" w:type="dxa"/>
          <w:left w:w="28" w:type="dxa"/>
          <w:bottom w:w="28" w:type="dxa"/>
          <w:right w:w="28" w:type="dxa"/>
        </w:tblCellMar>
      </w:tblPr>
      <w:tblGrid>
        <w:gridCol w:w="1951"/>
        <w:gridCol w:w="146"/>
        <w:gridCol w:w="406"/>
        <w:gridCol w:w="146"/>
        <w:gridCol w:w="292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Eledon Pharmaceuticals,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jc w:val="left"/>
              <w:rPr>
                <w:color w:val="000000"/>
              </w:rPr>
            </w:pPr>
            <w:r>
              <w:rPr>
                <w:color w:val="000000"/>
              </w:rPr>
              <w:t> </w:t>
            </w:r>
            <w:r>
              <w:rPr>
                <w:rFonts w:ascii="Times New Roman" w:hAnsi="Times New Roman"/>
                <w:b/>
                <w:color w:val="000000"/>
                <w:sz w:val="20"/>
              </w:rPr>
              <w:t>and Director (Principal</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Officer)</w:t>
            </w:r>
          </w:p>
        </w:tc>
      </w:tr>
    </w:tbl>
    <w:tbl>
      <w:tblPr>
        <w:tblW w:w="5215" w:type="dxa"/>
        <w:jc w:val="left"/>
        <w:tblInd w:w="0" w:type="dxa"/>
        <w:tblLayout w:type="fixed"/>
        <w:tblCellMar>
          <w:top w:w="28" w:type="dxa"/>
          <w:left w:w="28" w:type="dxa"/>
          <w:bottom w:w="28" w:type="dxa"/>
          <w:right w:w="28" w:type="dxa"/>
        </w:tblCellMar>
      </w:tblPr>
      <w:tblGrid>
        <w:gridCol w:w="1951"/>
        <w:gridCol w:w="146"/>
        <w:gridCol w:w="406"/>
        <w:gridCol w:w="14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left"/>
        <w:rPr/>
      </w:pPr>
      <w:bookmarkStart w:id="22" w:name="eldn-ex31_1.htm"/>
      <w:bookmarkStart w:id="23" w:name="kseldn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David-Alexandre C. Gros, M.D.,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Eledon Pharmaceuticals,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538" w:type="dxa"/>
        <w:jc w:val="left"/>
        <w:tblInd w:w="0" w:type="dxa"/>
        <w:tblLayout w:type="fixed"/>
        <w:tblCellMar>
          <w:top w:w="28" w:type="dxa"/>
          <w:left w:w="28" w:type="dxa"/>
          <w:bottom w:w="28" w:type="dxa"/>
          <w:right w:w="28" w:type="dxa"/>
        </w:tblCellMar>
      </w:tblPr>
      <w:tblGrid>
        <w:gridCol w:w="1951"/>
        <w:gridCol w:w="109"/>
        <w:gridCol w:w="406"/>
        <w:gridCol w:w="146"/>
        <w:gridCol w:w="29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pPr>
      <w:bookmarkStart w:id="24" w:name="eldn-ex31_2.htm"/>
      <w:bookmarkStart w:id="25" w:name="kseldn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Paul Little,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Eledon Pharmaceuticals,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028" w:type="dxa"/>
        <w:jc w:val="left"/>
        <w:tblInd w:w="0" w:type="dxa"/>
        <w:tblLayout w:type="fixed"/>
        <w:tblCellMar>
          <w:top w:w="28" w:type="dxa"/>
          <w:left w:w="28" w:type="dxa"/>
          <w:bottom w:w="28" w:type="dxa"/>
          <w:right w:w="28" w:type="dxa"/>
        </w:tblCellMar>
      </w:tblPr>
      <w:tblGrid>
        <w:gridCol w:w="1951"/>
        <w:gridCol w:w="109"/>
        <w:gridCol w:w="406"/>
        <w:gridCol w:w="14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eldn-ex32_1.htm"/>
      <w:bookmarkStart w:id="27" w:name="kseldnex32_1"/>
      <w:bookmarkEnd w:id="26"/>
      <w:bookmarkEnd w:id="27"/>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Eledon Pharmaceuticals, Inc. (the “Company”) for the period ended June 30, 2026 as filed with the Securities and Exchange Commission on the date hereof (the “Report”), the undersigned, David-Alexandre C. Gros, M.D., Chief Executive Officer of the Company, hereby certifies, pursuant to 18 U.S.C. Section 1350, as adopted pursuant to Section 906 of the Sarbanes-Oxley Act of 2002,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w:t>
        <w:br/>
        <w:t xml:space="preserve">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538" w:type="dxa"/>
        <w:jc w:val="left"/>
        <w:tblInd w:w="0" w:type="dxa"/>
        <w:tblLayout w:type="fixed"/>
        <w:tblCellMar>
          <w:top w:w="28" w:type="dxa"/>
          <w:left w:w="28" w:type="dxa"/>
          <w:bottom w:w="28" w:type="dxa"/>
          <w:right w:w="28" w:type="dxa"/>
        </w:tblCellMar>
      </w:tblPr>
      <w:tblGrid>
        <w:gridCol w:w="1951"/>
        <w:gridCol w:w="109"/>
        <w:gridCol w:w="406"/>
        <w:gridCol w:w="146"/>
        <w:gridCol w:w="29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eldn-ex32_2.htm"/>
      <w:bookmarkStart w:id="29" w:name="kseldnex32_2"/>
      <w:bookmarkEnd w:id="28"/>
      <w:bookmarkEnd w:id="29"/>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Eledon Pharmaceuticals, Inc. (the “Company”) for the period ended June 30, 2026 as filed with the Securities and Exchange Commission on the date hereof (the “Report”), the undersigned, Paul Little, Chief Financial Officer of the Company, hereby certifies, pursuant to 18 U.S.C. Section 1350, as adopted pursuant to Section 906 of the Sarbanes-Oxley Act of 2002,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w:t>
        <w:br/>
        <w:t xml:space="preserve">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028" w:type="dxa"/>
        <w:jc w:val="left"/>
        <w:tblInd w:w="0" w:type="dxa"/>
        <w:tblLayout w:type="fixed"/>
        <w:tblCellMar>
          <w:top w:w="28" w:type="dxa"/>
          <w:left w:w="28" w:type="dxa"/>
          <w:bottom w:w="28" w:type="dxa"/>
          <w:right w:w="28" w:type="dxa"/>
        </w:tblCellMar>
      </w:tblPr>
      <w:tblGrid>
        <w:gridCol w:w="1951"/>
        <w:gridCol w:w="109"/>
        <w:gridCol w:w="406"/>
        <w:gridCol w:w="14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281/000119312514354857/d793658dex31.htm" TargetMode="External"/><Relationship Id="rId3" Type="http://schemas.openxmlformats.org/officeDocument/2006/relationships/hyperlink" Target="https://www.sec.gov/Archives/edgar/data/1404281/000119312517170677/d393884dex31.htm" TargetMode="External"/><Relationship Id="rId4" Type="http://schemas.openxmlformats.org/officeDocument/2006/relationships/hyperlink" Target="https://www.sec.gov/Archives/edgar/data/1404281/000119312517170677/d393884dex32.htm" TargetMode="External"/><Relationship Id="rId5" Type="http://schemas.openxmlformats.org/officeDocument/2006/relationships/hyperlink" Target="https://www.sec.gov/Archives/edgar/data/1404281/000119312520264806/d18987dex31.htm" TargetMode="External"/><Relationship Id="rId6" Type="http://schemas.openxmlformats.org/officeDocument/2006/relationships/hyperlink" Target="https://www.sec.gov/Archives/edgar/data/1404281/000110465921000921/tm211620d1_ex3-1.htm" TargetMode="External"/><Relationship Id="rId7" Type="http://schemas.openxmlformats.org/officeDocument/2006/relationships/hyperlink" Target="https://www.sec.gov/Archives/edgar/data/1404281/000095017025085588/eldn-ex3_1.htm" TargetMode="External"/><Relationship Id="rId8" Type="http://schemas.openxmlformats.org/officeDocument/2006/relationships/hyperlink" Target="https://www.sec.gov/Archives/edgar/data/1404281/000095017025085588/eldn-ex3_2.htm" TargetMode="External"/><Relationship Id="rId9" Type="http://schemas.openxmlformats.org/officeDocument/2006/relationships/hyperlink" Target="https://www.sec.gov/Archives/edgar/data/1404281/000119312526277653/eldn-ex3_1.htm" TargetMode="External"/><Relationship Id="rId10" Type="http://schemas.openxmlformats.org/officeDocument/2006/relationships/hyperlink" Target="https://www.sec.gov/Archives/edgar/data/1404281/000119312520041903/d888744dex31.htm" TargetMode="External"/><Relationship Id="rId11" Type="http://schemas.openxmlformats.org/officeDocument/2006/relationships/hyperlink" Target="https://www.sec.gov/Archives/edgar/data/1404281/000119312520246314/d26397dex31.htm" TargetMode="External"/><Relationship Id="rId12" Type="http://schemas.openxmlformats.org/officeDocument/2006/relationships/hyperlink" Target="https://www.sec.gov/Archives/edgar/data/1404281/000119312520246314/d26397dex31.htm" TargetMode="External"/><Relationship Id="rId13" Type="http://schemas.openxmlformats.org/officeDocument/2006/relationships/hyperlink" Target="https://www.sec.gov/Archives/edgar/data/1404281/000119312520246314/d26397dex31.htm" TargetMode="External"/><Relationship Id="rId14" Type="http://schemas.openxmlformats.org/officeDocument/2006/relationships/hyperlink" Target="https://www.sec.gov/Archives/edgar/data/1404281/000110465921000921/tm211620d1_ex3-2.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42871</Words>
  <Characters>242729</Characters>
  <CharactersWithSpaces>286487</CharactersWithSpaces>
  <Paragraphs>6218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