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67098ds8.htm"/>
      <w:bookmarkStart w:id="1" w:name="ksd167098ds8"/>
      <w:bookmarkEnd w:id="0"/>
      <w:bookmarkEnd w:id="1"/>
      <w:r>
        <w:rPr>
          <w:rFonts w:ascii="Times New Roman" w:hAnsi="Times New Roman"/>
          <w:b/>
          <w:sz w:val="20"/>
        </w:rPr>
        <w:t xml:space="preserve">As filed with the Securities and Exchange Commission on September 4,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__________________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ELEDON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20-1000967</w:t>
            </w:r>
          </w:p>
        </w:tc>
      </w:tr>
      <w:tr>
        <w:trPr/>
        <w:tc>
          <w:tcPr>
            <w:tcW w:w="5155" w:type="dxa"/>
            <w:tcBorders/>
          </w:tcPr>
          <w:p>
            <w:pPr>
              <w:pStyle w:val="TableContents"/>
              <w:bidi w:val="0"/>
              <w:spacing w:before="0" w:after="283"/>
              <w:jc w:val="center"/>
              <w:rPr>
                <w:b/>
              </w:rPr>
            </w:pPr>
            <w:r>
              <w:rPr>
                <w:b/>
              </w:rPr>
              <w:t>(State or other jurisdiction of</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(I.R.S. Employer</w:t>
            </w:r>
          </w:p>
        </w:tc>
      </w:tr>
      <w:tr>
        <w:trPr/>
        <w:tc>
          <w:tcPr>
            <w:tcW w:w="5155" w:type="dxa"/>
            <w:tcBorders/>
          </w:tcPr>
          <w:p>
            <w:pPr>
              <w:pStyle w:val="TableContents"/>
              <w:bidi w:val="0"/>
              <w:spacing w:before="0" w:after="283"/>
              <w:jc w:val="center"/>
              <w:rPr>
                <w:b/>
              </w:rPr>
            </w:pPr>
            <w:r>
              <w:rPr>
                <w:b/>
              </w:rPr>
              <w:t>incorporation or organization)</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Identification No.)</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19800 MacArthur Blvd., Suite 250 </w:t>
      </w:r>
    </w:p>
    <w:p>
      <w:pPr>
        <w:pStyle w:val="TextBody"/>
        <w:bidi w:val="0"/>
        <w:spacing w:before="0" w:after="0"/>
        <w:jc w:val="center"/>
        <w:rPr>
          <w:rFonts w:ascii="Times New Roman" w:hAnsi="Times New Roman"/>
          <w:b/>
          <w:sz w:val="20"/>
        </w:rPr>
      </w:pPr>
      <w:r>
        <w:rPr>
          <w:rFonts w:ascii="Times New Roman" w:hAnsi="Times New Roman"/>
          <w:b/>
          <w:sz w:val="20"/>
        </w:rPr>
        <w:t xml:space="preserve">Irvine, California 92612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Eledon Pharmaceuticals, Inc. 2020 Long Term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(Inducement Grant)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David-Alexandre C. Gros, M.D.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19800 MacArthur Blvd., Suite 250 </w:t>
      </w:r>
    </w:p>
    <w:p>
      <w:pPr>
        <w:pStyle w:val="TextBody"/>
        <w:bidi w:val="0"/>
        <w:spacing w:before="0" w:after="0"/>
        <w:jc w:val="center"/>
        <w:rPr>
          <w:rFonts w:ascii="Times New Roman" w:hAnsi="Times New Roman"/>
          <w:b/>
          <w:sz w:val="20"/>
        </w:rPr>
      </w:pPr>
      <w:r>
        <w:rPr>
          <w:rFonts w:ascii="Times New Roman" w:hAnsi="Times New Roman"/>
          <w:b/>
          <w:sz w:val="20"/>
        </w:rPr>
        <w:t xml:space="preserve">Irvine, California 92612 </w:t>
      </w:r>
    </w:p>
    <w:p>
      <w:pPr>
        <w:pStyle w:val="TextBody"/>
        <w:bidi w:val="0"/>
        <w:spacing w:before="0" w:after="0"/>
        <w:jc w:val="center"/>
        <w:rPr>
          <w:rFonts w:ascii="Times New Roman" w:hAnsi="Times New Roman"/>
          <w:b/>
          <w:sz w:val="20"/>
        </w:rPr>
      </w:pPr>
      <w:r>
        <w:rPr>
          <w:rFonts w:ascii="Times New Roman" w:hAnsi="Times New Roman"/>
          <w:b/>
          <w:sz w:val="20"/>
        </w:rPr>
        <w:t xml:space="preserve">(949) 238-8090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Shelly Heyduk, Esq. </w:t>
      </w:r>
    </w:p>
    <w:p>
      <w:pPr>
        <w:pStyle w:val="TextBody"/>
        <w:bidi w:val="0"/>
        <w:spacing w:before="0" w:after="0"/>
        <w:jc w:val="center"/>
        <w:rPr>
          <w:rFonts w:ascii="Times New Roman" w:hAnsi="Times New Roman"/>
          <w:b/>
          <w:sz w:val="20"/>
        </w:rPr>
      </w:pPr>
      <w:r>
        <w:rPr>
          <w:rFonts w:ascii="Times New Roman" w:hAnsi="Times New Roman"/>
          <w:b/>
          <w:sz w:val="20"/>
        </w:rPr>
        <w:t xml:space="preserve">O’Melveny &amp; Myers LLP </w:t>
      </w:r>
    </w:p>
    <w:p>
      <w:pPr>
        <w:pStyle w:val="TextBody"/>
        <w:bidi w:val="0"/>
        <w:spacing w:before="0" w:after="0"/>
        <w:jc w:val="center"/>
        <w:rPr>
          <w:rFonts w:ascii="Times New Roman" w:hAnsi="Times New Roman"/>
          <w:b/>
          <w:sz w:val="20"/>
        </w:rPr>
      </w:pPr>
      <w:r>
        <w:rPr>
          <w:rFonts w:ascii="Times New Roman" w:hAnsi="Times New Roman"/>
          <w:b/>
          <w:sz w:val="20"/>
        </w:rPr>
        <w:t xml:space="preserve">610 Newport Center Drive,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Newport Beach, California 92660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sz w:val="20"/>
        </w:rPr>
      </w:pPr>
      <w:r>
        <w:rPr>
          <w:rFonts w:ascii="Times New Roman" w:hAnsi="Times New Roman"/>
          <w:sz w:val="20"/>
        </w:rPr>
        <w:t xml:space="preserve">INFORMATION REQUIRED IN THE </w:t>
      </w:r>
    </w:p>
    <w:p>
      <w:pPr>
        <w:pStyle w:val="TextBody"/>
        <w:bidi w:val="0"/>
        <w:spacing w:before="0" w:after="0"/>
        <w:jc w:val="center"/>
        <w:rPr>
          <w:rFonts w:ascii="Times New Roman" w:hAnsi="Times New Roman"/>
          <w:sz w:val="20"/>
        </w:rPr>
      </w:pPr>
      <w:r>
        <w:rPr>
          <w:rFonts w:ascii="Times New Roman" w:hAnsi="Times New Roman"/>
          <w:sz w:val="20"/>
        </w:rPr>
        <w:t xml:space="preserve">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document(s) containing the information specified in Part I of Form S-8 will be sent or given to participants as specified by Rule 428(b)(1) promulgated under the Securities Act of 1933, as amended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sz w:val="20"/>
        </w:rPr>
      </w:pPr>
      <w:r>
        <w:rPr>
          <w:rFonts w:ascii="Times New Roman" w:hAnsi="Times New Roman"/>
          <w:sz w:val="20"/>
        </w:rPr>
        <w:t xml:space="preserve">INFORMATION REQUIRED IN THE </w:t>
      </w:r>
    </w:p>
    <w:p>
      <w:pPr>
        <w:pStyle w:val="TextBody"/>
        <w:bidi w:val="0"/>
        <w:spacing w:before="0" w:after="0"/>
        <w:jc w:val="center"/>
        <w:rPr>
          <w:rFonts w:ascii="Times New Roman" w:hAnsi="Times New Roman"/>
          <w:sz w:val="20"/>
        </w:rPr>
      </w:pPr>
      <w:r>
        <w:rPr>
          <w:rFonts w:ascii="Times New Roman" w:hAnsi="Times New Roman"/>
          <w:sz w:val="20"/>
        </w:rPr>
        <w:t xml:space="preserve">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of Eledon Pharmaceuticals, Inc. (the “Company” or “Registrant”) filed with the Securities and Exchange Commission (the “Commission”)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pPr>
            <w:r>
              <w:rPr>
                <w:rFonts w:ascii="Times New Roman" w:hAnsi="Times New Roman"/>
                <w:sz w:val="20"/>
              </w:rPr>
              <w:t xml:space="preserve">The Company’s Registration Statements on Form S-8, filed with the Commission on </w:t>
            </w:r>
            <w:hyperlink r:id="rId2">
              <w:r>
                <w:rPr>
                  <w:rStyle w:val="InternetLink"/>
                  <w:rFonts w:ascii="Times New Roman" w:hAnsi="Times New Roman"/>
                  <w:sz w:val="20"/>
                </w:rPr>
                <w:t>April 12, 2021</w:t>
              </w:r>
            </w:hyperlink>
            <w:r>
              <w:rPr>
                <w:rFonts w:ascii="Times New Roman" w:hAnsi="Times New Roman"/>
                <w:sz w:val="20"/>
              </w:rPr>
              <w:t xml:space="preserve"> and </w:t>
            </w:r>
            <w:hyperlink r:id="rId3">
              <w:r>
                <w:rPr>
                  <w:rStyle w:val="InternetLink"/>
                  <w:rFonts w:ascii="Times New Roman" w:hAnsi="Times New Roman"/>
                  <w:sz w:val="20"/>
                </w:rPr>
                <w:t xml:space="preserve">August  11, 2023 </w:t>
              </w:r>
            </w:hyperlink>
            <w:r>
              <w:rPr>
                <w:rFonts w:ascii="Times New Roman" w:hAnsi="Times New Roman"/>
                <w:sz w:val="20"/>
              </w:rPr>
              <w:t xml:space="preserve">(Commission File Nos. 333-255173 and 333-273900,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Company’s Annual Report on </w:t>
            </w:r>
            <w:hyperlink r:id="rId4">
              <w:r>
                <w:rPr>
                  <w:rStyle w:val="InternetLink"/>
                  <w:rFonts w:ascii="Times New Roman" w:hAnsi="Times New Roman"/>
                  <w:sz w:val="20"/>
                </w:rPr>
                <w:t>Form 10-K</w:t>
              </w:r>
            </w:hyperlink>
            <w:r>
              <w:rPr>
                <w:rFonts w:ascii="Times New Roman" w:hAnsi="Times New Roman"/>
                <w:sz w:val="20"/>
              </w:rPr>
              <w:t xml:space="preserve"> for its fiscal year ended December 31, 2025, filed with the Commission on March 19, 2026 (Commission File No. 001-36620);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pPr>
            <w:r>
              <w:rPr>
                <w:rFonts w:ascii="Times New Roman" w:hAnsi="Times New Roman"/>
                <w:sz w:val="20"/>
              </w:rPr>
              <w:t xml:space="preserve">The portions of the Company’s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Commission on April  30, 2026, that are incorporated by reference in Part III of the Company’s Annual Report on </w:t>
            </w:r>
            <w:hyperlink r:id="rId6">
              <w:r>
                <w:rPr>
                  <w:rStyle w:val="InternetLink"/>
                  <w:rFonts w:ascii="Times New Roman" w:hAnsi="Times New Roman"/>
                  <w:sz w:val="20"/>
                </w:rPr>
                <w:t>Form 10-K</w:t>
              </w:r>
            </w:hyperlink>
            <w:r>
              <w:rPr>
                <w:rFonts w:ascii="Times New Roman" w:hAnsi="Times New Roman"/>
                <w:sz w:val="20"/>
              </w:rPr>
              <w:t xml:space="preserve"> for its fiscal year ended December 31, 2025 (Commission File No. 001-36620);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pPr>
            <w:r>
              <w:rPr>
                <w:rFonts w:ascii="Times New Roman" w:hAnsi="Times New Roman"/>
                <w:sz w:val="20"/>
              </w:rPr>
              <w:t xml:space="preserve">The Company’s Quarterly Reports on Form 10-Q for its fiscal quarters ended </w:t>
            </w:r>
            <w:hyperlink r:id="rId7">
              <w:r>
                <w:rPr>
                  <w:rStyle w:val="InternetLink"/>
                  <w:rFonts w:ascii="Times New Roman" w:hAnsi="Times New Roman"/>
                  <w:sz w:val="20"/>
                </w:rPr>
                <w:t>March  31, 2026</w:t>
              </w:r>
            </w:hyperlink>
            <w:r>
              <w:rPr>
                <w:rFonts w:ascii="Times New Roman" w:hAnsi="Times New Roman"/>
                <w:sz w:val="20"/>
              </w:rPr>
              <w:t xml:space="preserve"> and </w:t>
            </w:r>
            <w:hyperlink r:id="rId8">
              <w:r>
                <w:rPr>
                  <w:rStyle w:val="InternetLink"/>
                  <w:rFonts w:ascii="Times New Roman" w:hAnsi="Times New Roman"/>
                  <w:sz w:val="20"/>
                </w:rPr>
                <w:t>June 30, 2026</w:t>
              </w:r>
            </w:hyperlink>
            <w:r>
              <w:rPr>
                <w:rFonts w:ascii="Times New Roman" w:hAnsi="Times New Roman"/>
                <w:sz w:val="20"/>
              </w:rPr>
              <w:t xml:space="preserve">, filed with the Commission on May 13, 2026 and August 13, 2026, respectively (each, Commission File No. 001-36620);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pPr>
            <w:r>
              <w:rPr>
                <w:rFonts w:ascii="Times New Roman" w:hAnsi="Times New Roman"/>
                <w:sz w:val="20"/>
              </w:rPr>
              <w:t xml:space="preserve">The Company’s Current Reports on Form 8-K, filed with the Commission on </w:t>
            </w:r>
            <w:hyperlink r:id="rId9">
              <w:r>
                <w:rPr>
                  <w:rStyle w:val="InternetLink"/>
                  <w:rFonts w:ascii="Times New Roman" w:hAnsi="Times New Roman"/>
                  <w:sz w:val="20"/>
                </w:rPr>
                <w:t>January  2, 2026</w:t>
              </w:r>
            </w:hyperlink>
            <w:r>
              <w:rPr>
                <w:rFonts w:ascii="Times New Roman" w:hAnsi="Times New Roman"/>
                <w:sz w:val="20"/>
              </w:rPr>
              <w:t xml:space="preserve"> and </w:t>
            </w:r>
            <w:hyperlink r:id="rId10">
              <w:r>
                <w:rPr>
                  <w:rStyle w:val="InternetLink"/>
                  <w:rFonts w:ascii="Times New Roman" w:hAnsi="Times New Roman"/>
                  <w:sz w:val="20"/>
                </w:rPr>
                <w:t>June 22, 2026</w:t>
              </w:r>
            </w:hyperlink>
            <w:r>
              <w:rPr>
                <w:rFonts w:ascii="Times New Roman" w:hAnsi="Times New Roman"/>
                <w:sz w:val="20"/>
              </w:rPr>
              <w:t xml:space="preserve"> (each, Commission File No. 001-36620);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pPr>
            <w:r>
              <w:rPr>
                <w:rFonts w:ascii="Times New Roman" w:hAnsi="Times New Roman"/>
                <w:sz w:val="20"/>
              </w:rPr>
              <w:t xml:space="preserve">The description of the Company’s common stock, par value $0.001 per share (the “Common Stock”), contained in </w:t>
            </w:r>
            <w:hyperlink r:id="rId11">
              <w:r>
                <w:rPr>
                  <w:rStyle w:val="InternetLink"/>
                  <w:rFonts w:ascii="Times New Roman" w:hAnsi="Times New Roman"/>
                  <w:sz w:val="20"/>
                </w:rPr>
                <w:t>Exhibit 4.8</w:t>
              </w:r>
            </w:hyperlink>
            <w:r>
              <w:rPr>
                <w:rFonts w:ascii="Times New Roman" w:hAnsi="Times New Roman"/>
                <w:sz w:val="20"/>
              </w:rPr>
              <w:t xml:space="preserve"> to the Registrant’s Annual Report on Form 10-K for the fiscal year ended December 31, 2025, filed with the Commission on March 19, 2026 (each, Commission File No. 001-36620), as well as any subsequent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by the Company pursuant to Sections 13(a), 13(c), 14 and 15(d) of the Securities Exchange Act of 1934, as amended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The validity of the issuance of Common Stock registered hereby is passed on for the Company by Bryan Smith. Mr. Smith is the General Counsel, Corporate Secretary, and Chief Compliance Officer of the Company and is compensated by the Company as an employee. Mr. Smith owns 0 shares of Common Stock, Company stock options to acquire up to an additional 1,479,000 shares of Common Stock and 64,500 restricted stock units that, when vested, will be delivered in the form of shares of Common Stock of the Company. Mr. Smith is eligible to receive stock awards by the Company under the 2020 Long Term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certificate of incorporation provides for the elimination of personal monetary liability of directors and officers of the Company to the fullest extent permissible under Delaware law. Delaware law does not permit the elimination or limitation of director monetary liability for: (i) breaches of the director’s duty of loyalty to the corporation or its stockholders; (ii) acts or omissions not in good faith or involving intentional misconduct or knowing violations of law; (iii) for a director, the willful or negligent payment of unlawful dividends or unlawful stock repurchases or redemptions; (iv) transactions in which the director received an improper personal benefit; or (v) for an officer,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Delaware General Corporation Law (the “DGCL”) permits a Delaware corporation to indemnify, on certain terms and conditions,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The certificate of incorporation and by-laws of the Company require the Company to indemnify the Company’s directors and officers to the fullest extent permitted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 may in its certificate of incorporation eliminate or limit the personal liability of a director or officer to the corporation or its stockholders for monetary damages for breach of fiduciary duty as a director or officer except for liability: (i) for any breach of the director’s or officer’s duty of loyalty to the corporation or its stockholders; (ii) for acts or omissions by a director or officer not in good faith or which involve intentional misconduct or a knowing violation of law; (iii) for a director under Section 174 of the DGCL (pertaining to certain prohibited acts including unlawful payment of dividends or unlawful purchase or redemption of the corporation’s capital stock); (iv) for any transaction from which the director or officer derived an improper personal benefit; or (v) for an officer in any action by or in the right of the corporation. The Company’s certificate of incorporation eliminates such personal liability of its directors and officers under such terms.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certificate of incorporation also requires the Company to provide exculpation to the following senior corporate officers: (i) the Company’s president, chief executive officer, chief operating officer, chief financial officer, chief legal officer, controller, treasurer or chief accounting officer, (ii) “named executive officers” identified in the Company’s SEC filings, and (iii) other individuals who, by written agreement with the Company, have consented to be identified as an officer for purposes of Delaware’s long-arm jurisdiction statute, in each case who were serving in such position at the time of an act or omission as to which liability is asserted.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See the attached Exhibit Index at page 7,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provided, however, that paragraphs (a)(1)(i) and (a)(1)(ii)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provisions described in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0"/>
        <w:gridCol w:w="502"/>
        <w:gridCol w:w="8993"/>
      </w:tblGrid>
      <w:tr>
        <w:trPr/>
        <w:tc>
          <w:tcPr>
            <w:tcW w:w="710"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283"/>
              <w:jc w:val="center"/>
              <w:rPr/>
            </w:pPr>
            <w:r>
              <w:rPr/>
              <w:t>Exhibit</w:t>
            </w:r>
          </w:p>
        </w:tc>
        <w:tc>
          <w:tcPr>
            <w:tcW w:w="502" w:type="dxa"/>
            <w:tcBorders/>
            <w:vAlign w:val="bottom"/>
          </w:tcPr>
          <w:p>
            <w:pPr>
              <w:pStyle w:val="TableContents"/>
              <w:bidi w:val="0"/>
              <w:spacing w:before="0" w:after="283"/>
              <w:jc w:val="left"/>
              <w:rPr/>
            </w:pPr>
            <w:r>
              <w:rPr/>
              <w:t>  </w:t>
            </w:r>
          </w:p>
        </w:tc>
        <w:tc>
          <w:tcPr>
            <w:tcW w:w="8993" w:type="dxa"/>
            <w:tcBorders/>
            <w:vAlign w:val="bottom"/>
          </w:tcPr>
          <w:p>
            <w:pPr>
              <w:pStyle w:val="TableContents"/>
              <w:bidi w:val="0"/>
              <w:spacing w:before="0" w:after="283"/>
              <w:jc w:val="left"/>
              <w:rPr/>
            </w:pPr>
            <w:r>
              <w:rPr/>
              <w:t> </w:t>
            </w:r>
          </w:p>
        </w:tc>
      </w:tr>
      <w:tr>
        <w:trPr/>
        <w:tc>
          <w:tcPr>
            <w:tcW w:w="71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w:t>
            </w:r>
          </w:p>
        </w:tc>
        <w:tc>
          <w:tcPr>
            <w:tcW w:w="502" w:type="dxa"/>
            <w:tcBorders/>
            <w:vAlign w:val="bottom"/>
          </w:tcPr>
          <w:p>
            <w:pPr>
              <w:pStyle w:val="TableContents"/>
              <w:bidi w:val="0"/>
              <w:spacing w:before="0" w:after="283"/>
              <w:jc w:val="left"/>
              <w:rPr/>
            </w:pPr>
            <w:r>
              <w:rPr/>
              <w:t>  </w:t>
            </w:r>
          </w:p>
        </w:tc>
        <w:tc>
          <w:tcPr>
            <w:tcW w:w="899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 of Exhibit</w:t>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4.1</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12">
              <w:r>
                <w:rPr>
                  <w:rStyle w:val="InternetLink"/>
                </w:rPr>
                <w:t xml:space="preserve">Eledon Pharmaceuticals, Inc. 2020 Long Term Incentive Plan, as amended and restated (incorporated by reference to Exhibit  10.13 to the Company’s Annual Report on Form 10-K, filed with the Commission on March 19, 2026 (Commission File No.  001-36620) and incorporated herein by this reference). </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4.2</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67098dex42.htm">
              <w:r>
                <w:rPr>
                  <w:rStyle w:val="InternetLink"/>
                </w:rPr>
                <w:t xml:space="preserve">Stock Option Agreement (Inducement Grant). Filed herewith. </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5</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67098dex5.htm">
              <w:r>
                <w:rPr>
                  <w:rStyle w:val="InternetLink"/>
                </w:rPr>
                <w:t xml:space="preserve">Opinion of Bryan Smith, General Counsel Corporate Secretary, and Chief Compliance Officer of the Registrant (opinion re legality). </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23.1</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67098dex231.htm">
              <w:r>
                <w:rPr>
                  <w:rStyle w:val="InternetLink"/>
                </w:rPr>
                <w:t xml:space="preserve">Consent of Deloitte &amp; Touche LLP (consent of independent auditors). </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23.2</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67098dex232.htm">
              <w:r>
                <w:rPr>
                  <w:rStyle w:val="InternetLink"/>
                </w:rPr>
                <w:t>Consent of Crowe LLP (consent of independent auditors).</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23.3</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67098dex5.htm">
              <w:r>
                <w:rPr>
                  <w:rStyle w:val="InternetLink"/>
                </w:rPr>
                <w:t xml:space="preserve">Consent of Counsel (included in Exhibit 5). </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24</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sig">
              <w:r>
                <w:rPr>
                  <w:rStyle w:val="InternetLink"/>
                </w:rPr>
                <w:t xml:space="preserve">Power of Attorney (included in this Registration Statement under “Signatures”). </w:t>
              </w:r>
            </w:hyperlink>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107</w:t>
            </w:r>
          </w:p>
        </w:tc>
        <w:tc>
          <w:tcPr>
            <w:tcW w:w="502"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w:anchor="d167098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Form S-8 Registration Statement to be signed on its behalf by the undersigned, thereunto duly authorized, in the City of Irvine, State of California, on September 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ELEDON PHARMACEUTICALS,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David-Alexandre C. Gros, M.D.</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David-Alexandre C. Gros, M.D.</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David-Alexandre C. Gros, M.D. and Paul Little, and each of them, acting individually and without the other,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1"/>
        <w:gridCol w:w="120"/>
        <w:gridCol w:w="4663"/>
        <w:gridCol w:w="217"/>
        <w:gridCol w:w="2104"/>
      </w:tblGrid>
      <w:tr>
        <w:trPr/>
        <w:tc>
          <w:tcPr>
            <w:tcW w:w="3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63"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31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Signature</w:t>
            </w:r>
          </w:p>
        </w:tc>
        <w:tc>
          <w:tcPr>
            <w:tcW w:w="120" w:type="dxa"/>
            <w:tcBorders/>
            <w:vAlign w:val="bottom"/>
          </w:tcPr>
          <w:p>
            <w:pPr>
              <w:pStyle w:val="TableContents"/>
              <w:bidi w:val="0"/>
              <w:spacing w:before="0" w:after="283"/>
              <w:jc w:val="left"/>
              <w:rPr/>
            </w:pPr>
            <w:r>
              <w:rPr/>
              <w:t>  </w:t>
            </w:r>
          </w:p>
        </w:tc>
        <w:tc>
          <w:tcPr>
            <w:tcW w:w="46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217" w:type="dxa"/>
            <w:tcBorders/>
            <w:vAlign w:val="bottom"/>
          </w:tcPr>
          <w:p>
            <w:pPr>
              <w:pStyle w:val="TableContents"/>
              <w:bidi w:val="0"/>
              <w:spacing w:before="0" w:after="283"/>
              <w:jc w:val="left"/>
              <w:rPr/>
            </w:pPr>
            <w:r>
              <w:rPr/>
              <w:t>  </w:t>
            </w:r>
          </w:p>
        </w:tc>
        <w:tc>
          <w:tcPr>
            <w:tcW w:w="21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r>
      <w:tr>
        <w:trPr>
          <w:trHeight w:val="240" w:hRule="atLeast"/>
        </w:trPr>
        <w:tc>
          <w:tcPr>
            <w:tcW w:w="3101" w:type="dxa"/>
            <w:tcBorders/>
            <w:vAlign w:val="center"/>
          </w:tcPr>
          <w:p>
            <w:pPr>
              <w:pStyle w:val="TableContents"/>
              <w:bidi w:val="0"/>
              <w:spacing w:before="0" w:after="283"/>
              <w:jc w:val="left"/>
              <w:rPr>
                <w:sz w:val="4"/>
                <w:szCs w:val="4"/>
              </w:rPr>
            </w:pPr>
            <w:r>
              <w:rPr>
                <w:sz w:val="4"/>
                <w:szCs w:val="4"/>
              </w:rPr>
            </w:r>
          </w:p>
        </w:tc>
        <w:tc>
          <w:tcPr>
            <w:tcW w:w="4783" w:type="dxa"/>
            <w:gridSpan w:val="2"/>
            <w:tcBorders/>
            <w:vAlign w:val="center"/>
          </w:tcPr>
          <w:p>
            <w:pPr>
              <w:pStyle w:val="TableContents"/>
              <w:bidi w:val="0"/>
              <w:spacing w:before="0" w:after="283"/>
              <w:jc w:val="left"/>
              <w:rPr>
                <w:sz w:val="4"/>
                <w:szCs w:val="4"/>
              </w:rPr>
            </w:pPr>
            <w:r>
              <w:rPr>
                <w:sz w:val="4"/>
                <w:szCs w:val="4"/>
              </w:rPr>
            </w:r>
          </w:p>
        </w:tc>
        <w:tc>
          <w:tcPr>
            <w:tcW w:w="2321" w:type="dxa"/>
            <w:gridSpan w:val="2"/>
            <w:tcBorders/>
            <w:vAlign w:val="center"/>
          </w:tcPr>
          <w:p>
            <w:pPr>
              <w:pStyle w:val="TableContents"/>
              <w:bidi w:val="0"/>
              <w:spacing w:before="0" w:after="283"/>
              <w:jc w:val="left"/>
              <w:rPr>
                <w:sz w:val="4"/>
                <w:szCs w:val="4"/>
              </w:rPr>
            </w:pPr>
            <w:r>
              <w:rPr>
                <w:sz w:val="4"/>
                <w:szCs w:val="4"/>
              </w:rPr>
            </w:r>
          </w:p>
        </w:tc>
      </w:tr>
      <w:tr>
        <w:trPr/>
        <w:tc>
          <w:tcPr>
            <w:tcW w:w="3101"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David-Alexandre C. Gros, M.D.</w:t>
            </w:r>
          </w:p>
          <w:p>
            <w:pPr>
              <w:pStyle w:val="TableContents"/>
              <w:bidi w:val="0"/>
              <w:spacing w:before="0" w:after="20"/>
              <w:jc w:val="left"/>
              <w:rPr>
                <w:rFonts w:ascii="Times New Roman" w:hAnsi="Times New Roman"/>
                <w:sz w:val="20"/>
              </w:rPr>
            </w:pPr>
            <w:r>
              <w:rPr>
                <w:rFonts w:ascii="Times New Roman" w:hAnsi="Times New Roman"/>
                <w:sz w:val="20"/>
              </w:rPr>
              <w:t>David-Alexandre C. Gros, M.D.</w:t>
            </w:r>
          </w:p>
        </w:tc>
        <w:tc>
          <w:tcPr>
            <w:tcW w:w="120" w:type="dxa"/>
            <w:tcBorders/>
            <w:vAlign w:val="bottom"/>
          </w:tcPr>
          <w:p>
            <w:pPr>
              <w:pStyle w:val="TableContents"/>
              <w:bidi w:val="0"/>
              <w:spacing w:before="0" w:after="283"/>
              <w:jc w:val="left"/>
              <w:rPr/>
            </w:pPr>
            <w:r>
              <w:rPr/>
              <w:t>  </w:t>
            </w:r>
          </w:p>
        </w:tc>
        <w:tc>
          <w:tcPr>
            <w:tcW w:w="4663"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217"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4, 2026</w:t>
            </w:r>
          </w:p>
        </w:tc>
      </w:tr>
      <w:tr>
        <w:trPr>
          <w:trHeight w:val="240" w:hRule="atLeast"/>
        </w:trPr>
        <w:tc>
          <w:tcPr>
            <w:tcW w:w="3101" w:type="dxa"/>
            <w:tcBorders/>
            <w:vAlign w:val="center"/>
          </w:tcPr>
          <w:p>
            <w:pPr>
              <w:pStyle w:val="TableContents"/>
              <w:bidi w:val="0"/>
              <w:spacing w:before="0" w:after="283"/>
              <w:jc w:val="left"/>
              <w:rPr>
                <w:sz w:val="4"/>
                <w:szCs w:val="4"/>
              </w:rPr>
            </w:pPr>
            <w:r>
              <w:rPr>
                <w:sz w:val="4"/>
                <w:szCs w:val="4"/>
              </w:rPr>
            </w:r>
          </w:p>
        </w:tc>
        <w:tc>
          <w:tcPr>
            <w:tcW w:w="4783" w:type="dxa"/>
            <w:gridSpan w:val="2"/>
            <w:tcBorders/>
            <w:vAlign w:val="center"/>
          </w:tcPr>
          <w:p>
            <w:pPr>
              <w:pStyle w:val="TableContents"/>
              <w:bidi w:val="0"/>
              <w:spacing w:before="0" w:after="283"/>
              <w:jc w:val="left"/>
              <w:rPr>
                <w:sz w:val="4"/>
                <w:szCs w:val="4"/>
              </w:rPr>
            </w:pPr>
            <w:r>
              <w:rPr>
                <w:sz w:val="4"/>
                <w:szCs w:val="4"/>
              </w:rPr>
            </w:r>
          </w:p>
        </w:tc>
        <w:tc>
          <w:tcPr>
            <w:tcW w:w="2321" w:type="dxa"/>
            <w:gridSpan w:val="2"/>
            <w:tcBorders/>
            <w:vAlign w:val="center"/>
          </w:tcPr>
          <w:p>
            <w:pPr>
              <w:pStyle w:val="TableContents"/>
              <w:bidi w:val="0"/>
              <w:spacing w:before="0" w:after="283"/>
              <w:jc w:val="left"/>
              <w:rPr>
                <w:sz w:val="4"/>
                <w:szCs w:val="4"/>
              </w:rPr>
            </w:pPr>
            <w:r>
              <w:rPr>
                <w:sz w:val="4"/>
                <w:szCs w:val="4"/>
              </w:rPr>
            </w:r>
          </w:p>
        </w:tc>
      </w:tr>
      <w:tr>
        <w:trPr/>
        <w:tc>
          <w:tcPr>
            <w:tcW w:w="3101"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Paul Little</w:t>
            </w:r>
          </w:p>
          <w:p>
            <w:pPr>
              <w:pStyle w:val="TableContents"/>
              <w:bidi w:val="0"/>
              <w:spacing w:before="0" w:after="0"/>
              <w:jc w:val="left"/>
              <w:rPr>
                <w:rFonts w:ascii="Times New Roman" w:hAnsi="Times New Roman"/>
                <w:sz w:val="20"/>
              </w:rPr>
            </w:pPr>
            <w:r>
              <w:rPr>
                <w:rFonts w:ascii="Times New Roman" w:hAnsi="Times New Roman"/>
                <w:sz w:val="20"/>
              </w:rPr>
              <w:t>Paul Little</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663"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0"/>
              <w:jc w:val="left"/>
              <w:rPr>
                <w:rFonts w:ascii="Times New Roman" w:hAnsi="Times New Roman"/>
                <w:sz w:val="20"/>
              </w:rPr>
            </w:pPr>
            <w:r>
              <w:rPr>
                <w:rFonts w:ascii="Times New Roman" w:hAnsi="Times New Roman"/>
                <w:sz w:val="20"/>
              </w:rPr>
              <w:t>(Principal Financial and</w:t>
            </w:r>
          </w:p>
          <w:p>
            <w:pPr>
              <w:pStyle w:val="TableContents"/>
              <w:bidi w:val="0"/>
              <w:spacing w:before="0" w:after="20"/>
              <w:jc w:val="left"/>
              <w:rPr>
                <w:rFonts w:ascii="Times New Roman" w:hAnsi="Times New Roman"/>
                <w:sz w:val="20"/>
              </w:rPr>
            </w:pPr>
            <w:r>
              <w:rPr>
                <w:rFonts w:ascii="Times New Roman" w:hAnsi="Times New Roman"/>
                <w:sz w:val="20"/>
              </w:rPr>
              <w:t>Accounting Officer)</w:t>
            </w:r>
          </w:p>
        </w:tc>
        <w:tc>
          <w:tcPr>
            <w:tcW w:w="217"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center"/>
              <w:rPr/>
            </w:pPr>
            <w:r>
              <w:rPr/>
              <w:t>September 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56"/>
        <w:gridCol w:w="123"/>
        <w:gridCol w:w="4730"/>
        <w:gridCol w:w="222"/>
        <w:gridCol w:w="2074"/>
      </w:tblGrid>
      <w:tr>
        <w:trPr/>
        <w:tc>
          <w:tcPr>
            <w:tcW w:w="30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30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Signature</w:t>
            </w:r>
          </w:p>
        </w:tc>
        <w:tc>
          <w:tcPr>
            <w:tcW w:w="123" w:type="dxa"/>
            <w:tcBorders/>
            <w:vAlign w:val="bottom"/>
          </w:tcPr>
          <w:p>
            <w:pPr>
              <w:pStyle w:val="TableContents"/>
              <w:bidi w:val="0"/>
              <w:spacing w:before="0" w:after="283"/>
              <w:jc w:val="left"/>
              <w:rPr/>
            </w:pPr>
            <w:r>
              <w:rPr/>
              <w:t>  </w:t>
            </w:r>
          </w:p>
        </w:tc>
        <w:tc>
          <w:tcPr>
            <w:tcW w:w="47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222" w:type="dxa"/>
            <w:tcBorders/>
            <w:vAlign w:val="bottom"/>
          </w:tcPr>
          <w:p>
            <w:pPr>
              <w:pStyle w:val="TableContents"/>
              <w:bidi w:val="0"/>
              <w:spacing w:before="0" w:after="283"/>
              <w:jc w:val="left"/>
              <w:rPr/>
            </w:pPr>
            <w:r>
              <w:rPr/>
              <w:t>  </w:t>
            </w:r>
          </w:p>
        </w:tc>
        <w:tc>
          <w:tcPr>
            <w:tcW w:w="20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Keith A. Katkin</w:t>
            </w:r>
          </w:p>
          <w:p>
            <w:pPr>
              <w:pStyle w:val="TableContents"/>
              <w:bidi w:val="0"/>
              <w:spacing w:before="0" w:after="20"/>
              <w:jc w:val="left"/>
              <w:rPr>
                <w:rFonts w:ascii="Times New Roman" w:hAnsi="Times New Roman"/>
                <w:sz w:val="20"/>
              </w:rPr>
            </w:pPr>
            <w:r>
              <w:rPr>
                <w:rFonts w:ascii="Times New Roman" w:hAnsi="Times New Roman"/>
                <w:sz w:val="20"/>
              </w:rPr>
              <w:t>Keith A. Katkin</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Jan Hillson, M.D.</w:t>
            </w:r>
          </w:p>
          <w:p>
            <w:pPr>
              <w:pStyle w:val="TableContents"/>
              <w:bidi w:val="0"/>
              <w:spacing w:before="0" w:after="20"/>
              <w:jc w:val="left"/>
              <w:rPr>
                <w:rFonts w:ascii="Times New Roman" w:hAnsi="Times New Roman"/>
                <w:sz w:val="20"/>
              </w:rPr>
            </w:pPr>
            <w:r>
              <w:rPr>
                <w:rFonts w:ascii="Times New Roman" w:hAnsi="Times New Roman"/>
                <w:sz w:val="20"/>
              </w:rPr>
              <w:t>Jan Hillson, M.D.</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Allan Kirk, M.D., Ph.D.</w:t>
            </w:r>
          </w:p>
          <w:p>
            <w:pPr>
              <w:pStyle w:val="TableContents"/>
              <w:bidi w:val="0"/>
              <w:spacing w:before="0" w:after="20"/>
              <w:jc w:val="left"/>
              <w:rPr>
                <w:rFonts w:ascii="Times New Roman" w:hAnsi="Times New Roman"/>
                <w:sz w:val="20"/>
              </w:rPr>
            </w:pPr>
            <w:r>
              <w:rPr>
                <w:rFonts w:ascii="Times New Roman" w:hAnsi="Times New Roman"/>
                <w:sz w:val="20"/>
              </w:rPr>
              <w:t>Allan Kirk, M.D., Ph.D.</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June Lee, M.D.</w:t>
            </w:r>
          </w:p>
          <w:p>
            <w:pPr>
              <w:pStyle w:val="TableContents"/>
              <w:bidi w:val="0"/>
              <w:spacing w:before="0" w:after="20"/>
              <w:jc w:val="left"/>
              <w:rPr>
                <w:rFonts w:ascii="Times New Roman" w:hAnsi="Times New Roman"/>
                <w:sz w:val="20"/>
              </w:rPr>
            </w:pPr>
            <w:r>
              <w:rPr>
                <w:rFonts w:ascii="Times New Roman" w:hAnsi="Times New Roman"/>
                <w:sz w:val="20"/>
              </w:rPr>
              <w:t>June Lee, M.D.</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S. McBride</w:t>
            </w:r>
          </w:p>
          <w:p>
            <w:pPr>
              <w:pStyle w:val="TableContents"/>
              <w:bidi w:val="0"/>
              <w:spacing w:before="0" w:after="20"/>
              <w:jc w:val="left"/>
              <w:rPr>
                <w:rFonts w:ascii="Times New Roman" w:hAnsi="Times New Roman"/>
                <w:sz w:val="20"/>
              </w:rPr>
            </w:pPr>
            <w:r>
              <w:rPr>
                <w:rFonts w:ascii="Times New Roman" w:hAnsi="Times New Roman"/>
                <w:sz w:val="20"/>
              </w:rPr>
              <w:t>John S. McBride</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Steven Perrin, Ph.D.</w:t>
            </w:r>
          </w:p>
          <w:p>
            <w:pPr>
              <w:pStyle w:val="TableContents"/>
              <w:bidi w:val="0"/>
              <w:spacing w:before="0" w:after="20"/>
              <w:jc w:val="left"/>
              <w:rPr>
                <w:rFonts w:ascii="Times New Roman" w:hAnsi="Times New Roman"/>
                <w:sz w:val="20"/>
              </w:rPr>
            </w:pPr>
            <w:r>
              <w:rPr>
                <w:rFonts w:ascii="Times New Roman" w:hAnsi="Times New Roman"/>
                <w:sz w:val="20"/>
              </w:rPr>
              <w:t>Steven Perrin, Ph.D.</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r>
        <w:trPr>
          <w:trHeight w:val="240" w:hRule="atLeast"/>
        </w:trPr>
        <w:tc>
          <w:tcPr>
            <w:tcW w:w="3056" w:type="dxa"/>
            <w:tcBorders/>
            <w:vAlign w:val="center"/>
          </w:tcPr>
          <w:p>
            <w:pPr>
              <w:pStyle w:val="TableContents"/>
              <w:bidi w:val="0"/>
              <w:spacing w:before="0" w:after="283"/>
              <w:jc w:val="left"/>
              <w:rPr>
                <w:sz w:val="4"/>
                <w:szCs w:val="4"/>
              </w:rPr>
            </w:pPr>
            <w:r>
              <w:rPr>
                <w:sz w:val="4"/>
                <w:szCs w:val="4"/>
              </w:rPr>
            </w:r>
          </w:p>
        </w:tc>
        <w:tc>
          <w:tcPr>
            <w:tcW w:w="4853" w:type="dxa"/>
            <w:gridSpan w:val="2"/>
            <w:tcBorders/>
            <w:vAlign w:val="center"/>
          </w:tcPr>
          <w:p>
            <w:pPr>
              <w:pStyle w:val="TableContents"/>
              <w:bidi w:val="0"/>
              <w:spacing w:before="0" w:after="283"/>
              <w:jc w:val="left"/>
              <w:rPr>
                <w:sz w:val="4"/>
                <w:szCs w:val="4"/>
              </w:rPr>
            </w:pPr>
            <w:r>
              <w:rPr>
                <w:sz w:val="4"/>
                <w:szCs w:val="4"/>
              </w:rPr>
            </w:r>
          </w:p>
        </w:tc>
        <w:tc>
          <w:tcPr>
            <w:tcW w:w="2296" w:type="dxa"/>
            <w:gridSpan w:val="2"/>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Robinson</w:t>
            </w:r>
          </w:p>
          <w:p>
            <w:pPr>
              <w:pStyle w:val="TableContents"/>
              <w:bidi w:val="0"/>
              <w:spacing w:before="0" w:after="20"/>
              <w:jc w:val="left"/>
              <w:rPr>
                <w:rFonts w:ascii="Times New Roman" w:hAnsi="Times New Roman"/>
                <w:sz w:val="20"/>
              </w:rPr>
            </w:pPr>
            <w:r>
              <w:rPr>
                <w:rFonts w:ascii="Times New Roman" w:hAnsi="Times New Roman"/>
                <w:sz w:val="20"/>
              </w:rPr>
              <w:t>James Robinson</w:t>
            </w:r>
          </w:p>
        </w:tc>
        <w:tc>
          <w:tcPr>
            <w:tcW w:w="123" w:type="dxa"/>
            <w:tcBorders/>
            <w:vAlign w:val="bottom"/>
          </w:tcPr>
          <w:p>
            <w:pPr>
              <w:pStyle w:val="TableContents"/>
              <w:bidi w:val="0"/>
              <w:spacing w:before="0" w:after="283"/>
              <w:jc w:val="left"/>
              <w:rPr/>
            </w:pPr>
            <w:r>
              <w:rPr/>
              <w:t>  </w:t>
            </w:r>
          </w:p>
        </w:tc>
        <w:tc>
          <w:tcPr>
            <w:tcW w:w="473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pPr>
            <w:r>
              <w:rPr/>
              <w:t> </w:t>
            </w:r>
          </w:p>
        </w:tc>
        <w:tc>
          <w:tcPr>
            <w:tcW w:w="222" w:type="dxa"/>
            <w:tcBorders/>
            <w:vAlign w:val="bottom"/>
          </w:tcPr>
          <w:p>
            <w:pPr>
              <w:pStyle w:val="TableContents"/>
              <w:bidi w:val="0"/>
              <w:spacing w:before="0" w:after="283"/>
              <w:jc w:val="left"/>
              <w:rPr/>
            </w:pPr>
            <w:r>
              <w:rPr/>
              <w:t>  </w:t>
            </w:r>
          </w:p>
        </w:tc>
        <w:tc>
          <w:tcPr>
            <w:tcW w:w="2074" w:type="dxa"/>
            <w:tcBorders/>
          </w:tcPr>
          <w:p>
            <w:pPr>
              <w:pStyle w:val="TableContents"/>
              <w:bidi w:val="0"/>
              <w:spacing w:before="0" w:after="0"/>
              <w:jc w:val="center"/>
              <w:rPr>
                <w:rFonts w:ascii="Times New Roman" w:hAnsi="Times New Roman"/>
                <w:sz w:val="20"/>
              </w:rPr>
            </w:pPr>
            <w:r>
              <w:rPr>
                <w:rFonts w:ascii="Times New Roman" w:hAnsi="Times New Roman"/>
                <w:sz w:val="20"/>
              </w:rPr>
              <w:t>September 4, 2026</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3" w:name="d167098dex42.htm"/>
      <w:bookmarkStart w:id="4" w:name="ksd167098dex42"/>
      <w:bookmarkEnd w:id="3"/>
      <w:bookmarkEnd w:id="4"/>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NON-QUALIFIED STOCK OPTION INDUCEMENT AWARD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GRANT OF OPTION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evidences the grant by </w:t>
            </w:r>
            <w:r>
              <w:rPr>
                <w:rFonts w:ascii="Times New Roman" w:hAnsi="Times New Roman"/>
                <w:b/>
                <w:sz w:val="20"/>
              </w:rPr>
              <w:t>ELEDON PHARMACEUTICALS,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on [  ] (the “</w:t>
            </w:r>
            <w:r>
              <w:rPr>
                <w:rFonts w:ascii="Times New Roman" w:hAnsi="Times New Roman"/>
                <w:b/>
                <w:sz w:val="20"/>
              </w:rPr>
              <w:t>Grant Date</w:t>
            </w:r>
            <w:r>
              <w:rPr>
                <w:rFonts w:ascii="Times New Roman" w:hAnsi="Times New Roman"/>
                <w:sz w:val="20"/>
              </w:rPr>
              <w:t>”) to [  ], an employee of the Company (the “</w:t>
            </w:r>
            <w:r>
              <w:rPr>
                <w:rFonts w:ascii="Times New Roman" w:hAnsi="Times New Roman"/>
                <w:b/>
                <w:sz w:val="20"/>
              </w:rPr>
              <w:t>Participant</w:t>
            </w:r>
            <w:r>
              <w:rPr>
                <w:rFonts w:ascii="Times New Roman" w:hAnsi="Times New Roman"/>
                <w:sz w:val="20"/>
              </w:rPr>
              <w:t>”), and is made in connection with Participant’s entry into that certain employment agreement with the Company dated as of [  ] (the “</w:t>
            </w:r>
            <w:r>
              <w:rPr>
                <w:rFonts w:ascii="Times New Roman" w:hAnsi="Times New Roman"/>
                <w:b/>
                <w:sz w:val="20"/>
              </w:rPr>
              <w:t>Employment Agreement</w:t>
            </w:r>
            <w:r>
              <w:rPr>
                <w:rFonts w:ascii="Times New Roman" w:hAnsi="Times New Roman"/>
                <w:sz w:val="20"/>
              </w:rPr>
              <w:t xml:space="preserve">”) and is an inducement material to the Participant’s entry into employment within the meaning of Rule 5635(c)(4) of the NASDAQ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If and to the extent that this Agreement conflicts or is inconsistent with the terms, conditions and provisions of any employment, consulting or similar services agreement (including the Employment Agreement) between the Participant and the Company as may be in effect (the “</w:t>
            </w:r>
            <w:r>
              <w:rPr>
                <w:rFonts w:ascii="Times New Roman" w:hAnsi="Times New Roman"/>
                <w:b/>
                <w:sz w:val="20"/>
              </w:rPr>
              <w:t>Service Agreement</w:t>
            </w:r>
            <w:r>
              <w:rPr>
                <w:rFonts w:ascii="Times New Roman" w:hAnsi="Times New Roman"/>
                <w:sz w:val="20"/>
              </w:rPr>
              <w:t xml:space="preserve">”), the Service Agreement shall control, and this Agreement shall be deemed to be modified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Although this Option is an inducement award made outside of the Company’s 2020 Long Term Incentive Plan (the “</w:t>
            </w:r>
            <w:r>
              <w:rPr>
                <w:rFonts w:ascii="Times New Roman" w:hAnsi="Times New Roman"/>
                <w:b/>
                <w:sz w:val="20"/>
              </w:rPr>
              <w:t>Plan</w:t>
            </w:r>
            <w:r>
              <w:rPr>
                <w:rFonts w:ascii="Times New Roman" w:hAnsi="Times New Roman"/>
                <w:sz w:val="20"/>
              </w:rPr>
              <w:t xml:space="preserve">”), it shall be subject to terms of the Plan in all respects as if granted under the Plan, which are incorporated into this Agreement by this reference, and which shall control in the event of any conflict with the terms and conditions hereof, provided that the Service Agreement shall control over any conflicting provision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GRANT OF OPTIONS.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on the Grant Date, granted to Participant, subject to the terms and conditions herein set forth, the right and option to purchase from the Company all or any part of an aggregate of [  ] shares of common stock of the Company, par value $0.001 per share (the “</w:t>
            </w:r>
            <w:r>
              <w:rPr>
                <w:rFonts w:ascii="Times New Roman" w:hAnsi="Times New Roman"/>
                <w:b/>
                <w:sz w:val="20"/>
              </w:rPr>
              <w:t>Common Stock</w:t>
            </w:r>
            <w:r>
              <w:rPr>
                <w:rFonts w:ascii="Times New Roman" w:hAnsi="Times New Roman"/>
                <w:sz w:val="20"/>
              </w:rPr>
              <w:t>”) at the option price of $[  ] per share, being not less than the closing price of a share of our Common Stock on the NASDAQ on the Grant Date (the “</w:t>
            </w:r>
            <w:r>
              <w:rPr>
                <w:rFonts w:ascii="Times New Roman" w:hAnsi="Times New Roman"/>
                <w:b/>
                <w:sz w:val="20"/>
              </w:rPr>
              <w:t>Option</w:t>
            </w:r>
            <w:r>
              <w:rPr>
                <w:rFonts w:ascii="Times New Roman" w:hAnsi="Times New Roman"/>
                <w:sz w:val="20"/>
              </w:rPr>
              <w:t>”). This Option is intended to be a nonqualified stock option and not an “incentive stock option” within the meaning of Section 422 of the Internal Revenue Code of 1986, as amended (the “</w:t>
            </w:r>
            <w:r>
              <w:rPr>
                <w:rFonts w:ascii="Times New Roman" w:hAnsi="Times New Roman"/>
                <w:b/>
                <w:sz w:val="20"/>
              </w:rPr>
              <w:t>Code</w:t>
            </w:r>
            <w:r>
              <w:rPr>
                <w:rFonts w:ascii="Times New Roman" w:hAnsi="Times New Roman"/>
                <w:sz w:val="20"/>
              </w:rPr>
              <w:t>”). Unless earlier terminated, this Option shall expire at 5:00 p.m., Pacific Time, on [ ] (the “</w:t>
            </w:r>
            <w:r>
              <w:rPr>
                <w:rFonts w:ascii="Times New Roman" w:hAnsi="Times New Roman"/>
                <w:b/>
                <w:sz w:val="20"/>
              </w:rPr>
              <w:t>Final Exercise Date</w:t>
            </w:r>
            <w:r>
              <w:rPr>
                <w:rFonts w:ascii="Times New Roman" w:hAnsi="Times New Roman"/>
                <w:sz w:val="20"/>
              </w:rPr>
              <w:t xml:space="preserve">”). This Option is exercisable as hereinafter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this Agreement, and although this Option is an inducement grant made outside of the Plan, it shall be subject to terms of the Plan, which are incorporated into this Agreement by this reference, and which shall control in the event of any conflict with the terms and conditions hereof. For the avoidance of doubt, the shares of Common Stock issuable hereunder shall not reduce or have any effect on the number of shares of Common Stock that may be issued under the Plan. The Service Agreement, this Agreement and the Plan constitute the entire understanding between the Participant and the Company regarding this Option. Any prior agreements, commitments or negotiations concerning this Option are superseded.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VESTING SCHEDULE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Option shall vest and become exercisable with respect to 1/4th of the underlying shares on the first anniversary of the grant date, and thereafter with respect to 1/48th of the underlying shares monthly for 36 months, such that the options shall be fully vested and exercisable on the fourth anniversary of the grant date (subject to the Participant’s continued service as an Eligible Participant as of each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herein to the contrary, if, upon the consummation of a Change in Control (as defined in the Plan) or during a period of ninety-days prior to the Change in Control or one-year period thereafter, the Participant’s employment with the Company is terminated by the Company without “Cause” or by the Participant for “Good Reason” (in each case as defined below), then this Option shall automatically vest with respect to all of the Shares not already vested and shall become vested and exercisable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EXERCISE OF OPTION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Form of Exercise</w:t>
            </w:r>
            <w:r>
              <w:rPr>
                <w:rFonts w:ascii="Times New Roman" w:hAnsi="Times New Roman"/>
                <w:sz w:val="20"/>
              </w:rPr>
              <w:t xml:space="preserve">. Each election to exercise this Option shall be done electronically through the Company’s equity plan administrator’s website or in writing, in the form of the Stock Option Exercise Notice attached as </w:t>
            </w:r>
            <w:r>
              <w:rPr>
                <w:rFonts w:ascii="Times New Roman" w:hAnsi="Times New Roman"/>
                <w:sz w:val="20"/>
                <w:u w:val="single"/>
              </w:rPr>
              <w:t>Annex A</w:t>
            </w:r>
            <w:r>
              <w:rPr>
                <w:rFonts w:ascii="Times New Roman" w:hAnsi="Times New Roman"/>
                <w:sz w:val="20"/>
              </w:rPr>
              <w:t xml:space="preserve">, signed by the Participant, and received by the Company at its principal office, together with payment in full in the manner provided in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Continuous Relationship with the Company Required</w:t>
            </w:r>
            <w:r>
              <w:rPr>
                <w:rFonts w:ascii="Times New Roman" w:hAnsi="Times New Roman"/>
                <w:sz w:val="20"/>
              </w:rPr>
              <w:t>. Except as otherwise provided in this Section 3, this Option may not be exercised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Times New Roman" w:hAnsi="Times New Roman"/>
                <w:b/>
                <w:sz w:val="20"/>
              </w:rPr>
              <w:t>Eligible Participant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Termination of Relationship with the Company</w:t>
            </w:r>
            <w:r>
              <w:rPr>
                <w:rFonts w:ascii="Times New Roman" w:hAnsi="Times New Roman"/>
                <w:sz w:val="20"/>
              </w:rPr>
              <w:t xml:space="preserve">. If the Participant ceases to be an Eligible Participant for any reason, then, except as provided in paragraphs (D) and (E) below, the right to exercise this Option shall terminate three months after such cessation (but in no event after the Final Exercise Date), provided that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Exercise Period Upon Death or Disability</w:t>
            </w:r>
            <w:r>
              <w:rPr>
                <w:rFonts w:ascii="Times New Roman" w:hAnsi="Times New Roman"/>
                <w:sz w:val="20"/>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283"/>
              <w:jc w:val="left"/>
              <w:rPr/>
            </w:pPr>
            <w:r>
              <w:rPr/>
              <w:t xml:space="preserve">extent that this Option was exercisable by the Participant on the date of his or her death or disability, and further provided that this Option shall not be exercisable after the Final Exercise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Termination for Cause</w:t>
            </w:r>
            <w:r>
              <w:rPr>
                <w:rFonts w:ascii="Times New Roman" w:hAnsi="Times New Roman"/>
                <w:sz w:val="20"/>
              </w:rPr>
              <w:t xml:space="preserve">. If, prior to the Final Exercise Date, the Participant’s employment is terminated by the Company for Cause, the right to exercise this Option shall terminate immediately upon the effective date of such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TAX MATTERS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Withholding</w:t>
            </w:r>
            <w:r>
              <w:rPr>
                <w:rFonts w:ascii="Times New Roman" w:hAnsi="Times New Roman"/>
                <w:sz w:val="20"/>
              </w:rPr>
              <w:t xml:space="preserve">.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Disqualifying Disposition</w:t>
            </w:r>
            <w:r>
              <w:rPr>
                <w:rFonts w:ascii="Times New Roman" w:hAnsi="Times New Roman"/>
                <w:sz w:val="20"/>
              </w:rPr>
              <w:t xml:space="preserve">. If the Participant disposes of Shares acquired upon exercise of this Option within two years from the Grant Date or one year after such Shares were acquired pursuant to exercise of this Option, the Participant shall notify the Company in writing of such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DEFINITIONS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pPr>
            <w:r>
              <w:rPr/>
              <w:t>“</w:t>
            </w:r>
            <w:r>
              <w:rPr>
                <w:rFonts w:ascii="Times New Roman" w:hAnsi="Times New Roman"/>
                <w:b/>
                <w:sz w:val="20"/>
              </w:rPr>
              <w:t>Cause</w:t>
            </w:r>
            <w:r>
              <w:rPr>
                <w:rFonts w:ascii="Times New Roman" w:hAnsi="Times New Roman"/>
                <w:sz w:val="20"/>
              </w:rPr>
              <w:t xml:space="preserve">” shall have the meaning set forth in any employment or other agreement between the Participant and the Company or, in the absence of such an agreement, shall mean that, in the good faith determination of the Company, the Participant has: (a) committed gross negligence or willful malfeasance in the performance of the Participant’s work or duties; (b) committed a breach of fiduciary duty or a breach of any non-competition, non-solicitation or confidentiality obligations to the Company; (c) failed to follow the proper directions of the Participant’s direct or indirect supervisor after written notice of such failure; (d) been convicted of, or pleaded “guilty” or “no contest” to, any misdemeanor relating to the affairs of the Company or any felony; (e) disregarded the material rules or material policies of the Company which has not been cured within 15 days after notice thereof from the Company; or (f) engaged in intentional acts that have generated material adverse publicity toward or about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5"/>
        <w:gridCol w:w="8883"/>
      </w:tblGrid>
      <w:tr>
        <w:trPr/>
        <w:tc>
          <w:tcPr>
            <w:tcW w:w="917"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ii)</w:t>
            </w:r>
          </w:p>
        </w:tc>
        <w:tc>
          <w:tcPr>
            <w:tcW w:w="8883" w:type="dxa"/>
            <w:tcBorders/>
          </w:tcPr>
          <w:p>
            <w:pPr>
              <w:pStyle w:val="TableContents"/>
              <w:bidi w:val="0"/>
              <w:spacing w:before="0" w:after="0"/>
              <w:jc w:val="left"/>
              <w:rPr/>
            </w:pPr>
            <w:r>
              <w:rPr/>
              <w:t>“</w:t>
            </w:r>
            <w:r>
              <w:rPr>
                <w:rFonts w:ascii="Times New Roman" w:hAnsi="Times New Roman"/>
                <w:b/>
                <w:sz w:val="20"/>
              </w:rPr>
              <w:t>Good Reason</w:t>
            </w:r>
            <w:r>
              <w:rPr>
                <w:rFonts w:ascii="Times New Roman" w:hAnsi="Times New Roman"/>
                <w:sz w:val="20"/>
              </w:rPr>
              <w:t xml:space="preserve">” shall have the meaning set forth in any employment or other agreement between the Participant and the Company or, in the absence of such an agreement, shall mean any action on the part of the Company or a successor in interest not consented to by the Participant in writing having the following effect or effects: (a) a material diminution in the Participant’s duties, authority or responsibilities from and after the Change in Control; (b) a material reduction in the Participant’s base salary from and after the Change in Control, other than a reduction comparable to reductions generally applicable to similarly situated persons; or (c) the Company’s requiring the Participant’s ongoing and regular services to be performed at a location more than fifty (50) miles from the geographic location at which the Participant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was providing services before such requirement. Notwithstanding the occurrence of any such event or circumstance, such occurrence shall not be deemed to constitute Good Reason unless (1) the Participant gives the Company’s Chief Executive Officer (or the Chief Executive Officer of the Company’s successor in interest, if applicable) written notice specifying that such event or circumstance will give rise to a right of termination no more than thirty (30) days after the initial existence of such event or circumstance, (2) such event or circumstance shall not have been cured within thirty (30) days following such written notice from the Participant and (3) the Participant terminates the Participant’s employment within forty-five (45) days after the end of the 30-day cure period and prior to such event or circumstance having been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indicated by the context, the term “Participant”, as used in this Option, shall be deemed to include any person who acquires the right to exercise this Option validly under its terms.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Option to be executed by its duly authorized officer.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1"/>
        <w:gridCol w:w="60"/>
        <w:gridCol w:w="3411"/>
      </w:tblGrid>
      <w:tr>
        <w:trPr/>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ELEDON PHARMACEUTICALS, INC.</w:t>
            </w:r>
          </w:p>
        </w:tc>
      </w:tr>
      <w:tr>
        <w:trPr>
          <w:trHeight w:val="240" w:hRule="atLeast"/>
        </w:trPr>
        <w:tc>
          <w:tcPr>
            <w:tcW w:w="611" w:type="dxa"/>
            <w:tcBorders/>
            <w:vAlign w:val="center"/>
          </w:tcPr>
          <w:p>
            <w:pPr>
              <w:pStyle w:val="TableContents"/>
              <w:bidi w:val="0"/>
              <w:spacing w:before="0" w:after="283"/>
              <w:jc w:val="left"/>
              <w:rPr>
                <w:sz w:val="4"/>
                <w:szCs w:val="4"/>
              </w:rPr>
            </w:pPr>
            <w:r>
              <w:rPr>
                <w:sz w:val="4"/>
                <w:szCs w:val="4"/>
              </w:rPr>
            </w:r>
          </w:p>
        </w:tc>
        <w:tc>
          <w:tcPr>
            <w:tcW w:w="3471"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t>
            </w:r>
          </w:p>
        </w:tc>
        <w:tc>
          <w:tcPr>
            <w:tcW w:w="60" w:type="dxa"/>
            <w:tcBorders/>
            <w:vAlign w:val="bottom"/>
          </w:tcPr>
          <w:p>
            <w:pPr>
              <w:pStyle w:val="TableContents"/>
              <w:bidi w:val="0"/>
              <w:spacing w:before="0" w:after="283"/>
              <w:jc w:val="left"/>
              <w:rPr/>
            </w:pPr>
            <w:r>
              <w:rPr/>
              <w:t> </w:t>
            </w:r>
          </w:p>
        </w:tc>
        <w:tc>
          <w:tcPr>
            <w:tcW w:w="3411" w:type="dxa"/>
            <w:tcBorders/>
          </w:tcPr>
          <w:p>
            <w:pPr>
              <w:pStyle w:val="TableContents"/>
              <w:pBdr>
                <w:bottom w:val="single" w:sz="2" w:space="1" w:color="000000"/>
              </w:pBdr>
              <w:bidi w:val="0"/>
              <w:spacing w:before="0" w:after="20"/>
              <w:jc w:val="left"/>
              <w:rPr/>
            </w:pPr>
            <w:r>
              <w:rPr/>
              <w:t> </w:t>
            </w:r>
          </w:p>
        </w:tc>
      </w:tr>
      <w:tr>
        <w:trPr/>
        <w:tc>
          <w:tcPr>
            <w:tcW w:w="611"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David-Alexandre C. Gros, MD</w:t>
            </w:r>
          </w:p>
        </w:tc>
      </w:tr>
      <w:tr>
        <w:trPr/>
        <w:tc>
          <w:tcPr>
            <w:tcW w:w="611"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accepts the foregoing option and agrees to the terms and conditions thereof. The undersigned hereby acknowledges receipt of a copy of the Plan.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PARTICIPANT: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 of Participant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Grant Acceptance Date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Print Name of Participant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Eledon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19800 MacArthur Blvd., Suite 250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USA </w:t>
      </w:r>
    </w:p>
    <w:p>
      <w:pPr>
        <w:pStyle w:val="TextBody"/>
        <w:bidi w:val="0"/>
        <w:spacing w:before="240" w:after="0"/>
        <w:jc w:val="left"/>
        <w:rPr>
          <w:rFonts w:ascii="Times New Roman" w:hAnsi="Times New Roman"/>
          <w:sz w:val="20"/>
        </w:rPr>
      </w:pPr>
      <w:r>
        <w:rPr>
          <w:rFonts w:ascii="Times New Roman" w:hAnsi="Times New Roman"/>
          <w:sz w:val="20"/>
        </w:rPr>
        <w:t xml:space="preserve">Dear Sir or Madam: </w:t>
      </w:r>
    </w:p>
    <w:p>
      <w:pPr>
        <w:pStyle w:val="TextBody"/>
        <w:bidi w:val="0"/>
        <w:spacing w:before="240" w:after="0"/>
        <w:jc w:val="left"/>
        <w:rPr>
          <w:rFonts w:ascii="Times New Roman" w:hAnsi="Times New Roman"/>
          <w:sz w:val="20"/>
        </w:rPr>
      </w:pPr>
      <w:r>
        <w:rPr>
          <w:rFonts w:ascii="Times New Roman" w:hAnsi="Times New Roman"/>
          <w:sz w:val="20"/>
        </w:rPr>
        <w:t>I, ___________________________ (the “</w:t>
      </w:r>
      <w:r>
        <w:rPr>
          <w:rFonts w:ascii="Times New Roman" w:hAnsi="Times New Roman"/>
          <w:b/>
          <w:sz w:val="20"/>
        </w:rPr>
        <w:t>Participant</w:t>
      </w:r>
      <w:r>
        <w:rPr>
          <w:rFonts w:ascii="Times New Roman" w:hAnsi="Times New Roman"/>
          <w:sz w:val="20"/>
        </w:rPr>
        <w:t>”), hereby irrevocably exercise the right to purchase ________ shares of the Common Stock, $0.001 par value per share (the “</w:t>
      </w:r>
      <w:r>
        <w:rPr>
          <w:rFonts w:ascii="Times New Roman" w:hAnsi="Times New Roman"/>
          <w:b/>
          <w:sz w:val="20"/>
        </w:rPr>
        <w:t>Shares</w:t>
      </w:r>
      <w:r>
        <w:rPr>
          <w:rFonts w:ascii="Times New Roman" w:hAnsi="Times New Roman"/>
          <w:sz w:val="20"/>
        </w:rPr>
        <w:t xml:space="preserve">”), of </w:t>
      </w:r>
      <w:r>
        <w:rPr>
          <w:rFonts w:ascii="Times New Roman" w:hAnsi="Times New Roman"/>
          <w:b/>
          <w:sz w:val="20"/>
        </w:rPr>
        <w:t>ELEDON PHARMACEUTICALS, INC.</w:t>
      </w:r>
      <w:r>
        <w:rPr>
          <w:rFonts w:ascii="Times New Roman" w:hAnsi="Times New Roman"/>
          <w:sz w:val="20"/>
        </w:rPr>
        <w:t xml:space="preserve"> (the “</w:t>
      </w:r>
      <w:r>
        <w:rPr>
          <w:rFonts w:ascii="Times New Roman" w:hAnsi="Times New Roman"/>
          <w:b/>
          <w:sz w:val="20"/>
        </w:rPr>
        <w:t>Company</w:t>
      </w:r>
      <w:r>
        <w:rPr>
          <w:rFonts w:ascii="Times New Roman" w:hAnsi="Times New Roman"/>
          <w:sz w:val="20"/>
        </w:rPr>
        <w:t>”) at $________ per share pursuant to the Company’s 2020 Stock Incentive Plan and a stock option agreement with the Company dated __________________ (the “</w:t>
      </w:r>
      <w:r>
        <w:rPr>
          <w:rFonts w:ascii="Times New Roman" w:hAnsi="Times New Roman"/>
          <w:b/>
          <w:sz w:val="20"/>
        </w:rPr>
        <w:t>Option Agreement</w:t>
      </w:r>
      <w:r>
        <w:rPr>
          <w:rFonts w:ascii="Times New Roman" w:hAnsi="Times New Roman"/>
          <w:sz w:val="20"/>
        </w:rPr>
        <w:t xml:space="preserve">”). Enclosed herewith is a payment of $_____________, the aggregate purchase price for the Shares. The certificate for the Shares should be registered in my name as it appears below or, if so indicated below, jointly in my name and the name of the person designated below, with right of survivorship. </w:t>
      </w:r>
    </w:p>
    <w:p>
      <w:pPr>
        <w:pStyle w:val="TextBody"/>
        <w:bidi w:val="0"/>
        <w:spacing w:before="0" w:after="0"/>
        <w:jc w:val="left"/>
        <w:rPr/>
      </w:pPr>
      <w:r>
        <w:rPr/>
        <w:t> </w:t>
      </w:r>
    </w:p>
    <w:tbl>
      <w:tblPr>
        <w:tblW w:w="6170" w:type="dxa"/>
        <w:jc w:val="right"/>
        <w:tblInd w:w="0" w:type="dxa"/>
        <w:tblLayout w:type="fixed"/>
        <w:tblCellMar>
          <w:top w:w="0" w:type="dxa"/>
          <w:left w:w="0" w:type="dxa"/>
          <w:bottom w:w="0" w:type="dxa"/>
          <w:right w:w="0" w:type="dxa"/>
        </w:tblCellMar>
      </w:tblPr>
      <w:tblGrid>
        <w:gridCol w:w="6170"/>
      </w:tblGrid>
      <w:tr>
        <w:trPr/>
        <w:tc>
          <w:tcPr>
            <w:tcW w:w="6170" w:type="dxa"/>
            <w:tcBorders/>
            <w:vAlign w:val="center"/>
          </w:tcPr>
          <w:p>
            <w:pPr>
              <w:pStyle w:val="TableContents"/>
              <w:bidi w:val="0"/>
              <w:spacing w:before="0" w:after="283"/>
              <w:jc w:val="left"/>
              <w:rPr>
                <w:sz w:val="4"/>
                <w:szCs w:val="4"/>
              </w:rPr>
            </w:pPr>
            <w:r>
              <w:rPr>
                <w:sz w:val="4"/>
                <w:szCs w:val="4"/>
              </w:rPr>
            </w:r>
          </w:p>
        </w:tc>
      </w:tr>
      <w:tr>
        <w:trPr/>
        <w:tc>
          <w:tcPr>
            <w:tcW w:w="6170" w:type="dxa"/>
            <w:tcBorders/>
          </w:tcPr>
          <w:p>
            <w:pPr>
              <w:pStyle w:val="TableContents"/>
              <w:bidi w:val="0"/>
              <w:spacing w:before="0" w:after="283"/>
              <w:jc w:val="left"/>
              <w:rPr/>
            </w:pPr>
            <w:r>
              <w:rPr/>
              <w:t>Dated: </w:t>
            </w:r>
            <w:r>
              <w:rPr>
                <w:u w:val="single"/>
              </w:rPr>
              <w:t>                                                                                          </w:t>
            </w:r>
          </w:p>
        </w:tc>
      </w:tr>
      <w:tr>
        <w:trPr>
          <w:trHeight w:val="240" w:hRule="atLeast"/>
        </w:trPr>
        <w:tc>
          <w:tcPr>
            <w:tcW w:w="6170" w:type="dxa"/>
            <w:tcBorders/>
            <w:vAlign w:val="center"/>
          </w:tcPr>
          <w:p>
            <w:pPr>
              <w:pStyle w:val="TableContents"/>
              <w:bidi w:val="0"/>
              <w:spacing w:before="0" w:after="283"/>
              <w:jc w:val="left"/>
              <w:rPr>
                <w:sz w:val="4"/>
                <w:szCs w:val="4"/>
              </w:rPr>
            </w:pPr>
            <w:r>
              <w:rPr>
                <w:sz w:val="4"/>
                <w:szCs w:val="4"/>
              </w:rPr>
            </w:r>
          </w:p>
        </w:tc>
      </w:tr>
      <w:tr>
        <w:trPr/>
        <w:tc>
          <w:tcPr>
            <w:tcW w:w="6170" w:type="dxa"/>
            <w:tcBorders/>
          </w:tcPr>
          <w:p>
            <w:pPr>
              <w:pStyle w:val="TableContents"/>
              <w:pBdr>
                <w:bottom w:val="single" w:sz="2" w:space="1" w:color="000000"/>
              </w:pBdr>
              <w:bidi w:val="0"/>
              <w:spacing w:before="0" w:after="20"/>
              <w:jc w:val="left"/>
              <w:rPr/>
            </w:pPr>
            <w:r>
              <w:rPr/>
              <w:t> </w:t>
            </w:r>
          </w:p>
        </w:tc>
      </w:tr>
      <w:tr>
        <w:trPr/>
        <w:tc>
          <w:tcPr>
            <w:tcW w:w="6170" w:type="dxa"/>
            <w:tcBorders/>
          </w:tcPr>
          <w:p>
            <w:pPr>
              <w:pStyle w:val="TableContents"/>
              <w:bidi w:val="0"/>
              <w:spacing w:before="0" w:after="283"/>
              <w:jc w:val="left"/>
              <w:rPr/>
            </w:pPr>
            <w:r>
              <w:rPr/>
              <w:t>Signature of Participant</w:t>
            </w:r>
          </w:p>
        </w:tc>
      </w:tr>
      <w:tr>
        <w:trPr>
          <w:trHeight w:val="240" w:hRule="atLeast"/>
        </w:trPr>
        <w:tc>
          <w:tcPr>
            <w:tcW w:w="6170" w:type="dxa"/>
            <w:tcBorders/>
            <w:vAlign w:val="center"/>
          </w:tcPr>
          <w:p>
            <w:pPr>
              <w:pStyle w:val="TableContents"/>
              <w:bidi w:val="0"/>
              <w:spacing w:before="0" w:after="283"/>
              <w:jc w:val="left"/>
              <w:rPr>
                <w:sz w:val="4"/>
                <w:szCs w:val="4"/>
              </w:rPr>
            </w:pPr>
            <w:r>
              <w:rPr>
                <w:sz w:val="4"/>
                <w:szCs w:val="4"/>
              </w:rPr>
            </w:r>
          </w:p>
        </w:tc>
      </w:tr>
      <w:tr>
        <w:trPr/>
        <w:tc>
          <w:tcPr>
            <w:tcW w:w="6170" w:type="dxa"/>
            <w:tcBorders/>
          </w:tcPr>
          <w:p>
            <w:pPr>
              <w:pStyle w:val="TableContents"/>
              <w:pBdr>
                <w:bottom w:val="single" w:sz="2" w:space="1" w:color="000000"/>
              </w:pBdr>
              <w:bidi w:val="0"/>
              <w:spacing w:before="0" w:after="20"/>
              <w:jc w:val="left"/>
              <w:rPr/>
            </w:pPr>
            <w:r>
              <w:rPr/>
              <w:t> </w:t>
            </w:r>
          </w:p>
        </w:tc>
      </w:tr>
      <w:tr>
        <w:trPr/>
        <w:tc>
          <w:tcPr>
            <w:tcW w:w="6170" w:type="dxa"/>
            <w:tcBorders/>
          </w:tcPr>
          <w:p>
            <w:pPr>
              <w:pStyle w:val="TableContents"/>
              <w:bidi w:val="0"/>
              <w:spacing w:before="0" w:after="283"/>
              <w:jc w:val="left"/>
              <w:rPr/>
            </w:pPr>
            <w:r>
              <w:rPr/>
              <w:t>Print Name of Participant</w:t>
            </w:r>
          </w:p>
        </w:tc>
      </w:tr>
      <w:tr>
        <w:trPr>
          <w:trHeight w:val="240" w:hRule="atLeast"/>
        </w:trPr>
        <w:tc>
          <w:tcPr>
            <w:tcW w:w="6170" w:type="dxa"/>
            <w:tcBorders/>
            <w:vAlign w:val="center"/>
          </w:tcPr>
          <w:p>
            <w:pPr>
              <w:pStyle w:val="TableContents"/>
              <w:bidi w:val="0"/>
              <w:spacing w:before="0" w:after="283"/>
              <w:jc w:val="left"/>
              <w:rPr>
                <w:sz w:val="4"/>
                <w:szCs w:val="4"/>
              </w:rPr>
            </w:pPr>
            <w:r>
              <w:rPr>
                <w:sz w:val="4"/>
                <w:szCs w:val="4"/>
              </w:rPr>
            </w:r>
          </w:p>
        </w:tc>
      </w:tr>
      <w:tr>
        <w:trPr/>
        <w:tc>
          <w:tcPr>
            <w:tcW w:w="6170" w:type="dxa"/>
            <w:tcBorders/>
          </w:tcPr>
          <w:p>
            <w:pPr>
              <w:pStyle w:val="TableContents"/>
              <w:bidi w:val="0"/>
              <w:spacing w:before="0" w:after="283"/>
              <w:jc w:val="left"/>
              <w:rPr/>
            </w:pPr>
            <w:r>
              <w:rPr/>
              <w:t>Address: </w:t>
            </w:r>
            <w:r>
              <w:rPr>
                <w:u w:val="single"/>
              </w:rPr>
              <w:t>                                                                                      </w:t>
            </w:r>
          </w:p>
        </w:tc>
      </w:tr>
      <w:tr>
        <w:trPr>
          <w:trHeight w:val="240" w:hRule="atLeast"/>
        </w:trPr>
        <w:tc>
          <w:tcPr>
            <w:tcW w:w="6170" w:type="dxa"/>
            <w:tcBorders/>
            <w:vAlign w:val="center"/>
          </w:tcPr>
          <w:p>
            <w:pPr>
              <w:pStyle w:val="TableContents"/>
              <w:bidi w:val="0"/>
              <w:spacing w:before="0" w:after="283"/>
              <w:jc w:val="left"/>
              <w:rPr>
                <w:sz w:val="4"/>
                <w:szCs w:val="4"/>
              </w:rPr>
            </w:pPr>
            <w:r>
              <w:rPr>
                <w:sz w:val="4"/>
                <w:szCs w:val="4"/>
              </w:rPr>
            </w:r>
          </w:p>
        </w:tc>
      </w:tr>
      <w:tr>
        <w:trPr/>
        <w:tc>
          <w:tcPr>
            <w:tcW w:w="6170" w:type="dxa"/>
            <w:tcBorders/>
          </w:tcPr>
          <w:p>
            <w:pPr>
              <w:pStyle w:val="TableContents"/>
              <w:pBdr>
                <w:bottom w:val="single" w:sz="2" w:space="1" w:color="000000"/>
              </w:pBdr>
              <w:bidi w:val="0"/>
              <w:spacing w:before="0" w:after="20"/>
              <w:jc w:val="left"/>
              <w:rPr/>
            </w:pPr>
            <w:r>
              <w:rPr/>
              <w:t> </w:t>
            </w:r>
          </w:p>
        </w:tc>
      </w:tr>
      <w:tr>
        <w:trPr>
          <w:trHeight w:val="240" w:hRule="atLeast"/>
        </w:trPr>
        <w:tc>
          <w:tcPr>
            <w:tcW w:w="6170" w:type="dxa"/>
            <w:tcBorders/>
            <w:vAlign w:val="center"/>
          </w:tcPr>
          <w:p>
            <w:pPr>
              <w:pStyle w:val="TableContents"/>
              <w:bidi w:val="0"/>
              <w:spacing w:before="0" w:after="283"/>
              <w:jc w:val="left"/>
              <w:rPr>
                <w:sz w:val="4"/>
                <w:szCs w:val="4"/>
              </w:rPr>
            </w:pPr>
            <w:r>
              <w:rPr>
                <w:sz w:val="4"/>
                <w:szCs w:val="4"/>
              </w:rPr>
            </w:r>
          </w:p>
        </w:tc>
      </w:tr>
      <w:tr>
        <w:trPr/>
        <w:tc>
          <w:tcPr>
            <w:tcW w:w="6170"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Name and address of persons in whose name the Shares are to be jointly registered (if applicable):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EEFF" w:val="clear"/>
            <w:vAlign w:val="bottom"/>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sz w:val="4"/>
                <w:szCs w:val="4"/>
              </w:rPr>
            </w:pPr>
            <w:r>
              <w:rPr>
                <w:sz w:val="4"/>
                <w:szCs w:val="4"/>
              </w:rPr>
            </w:r>
          </w:p>
        </w:tc>
      </w:tr>
      <w:tr>
        <w:trPr/>
        <w:tc>
          <w:tcPr>
            <w:tcW w:w="10205" w:type="dxa"/>
            <w:tcBorders/>
            <w:shd w:fill="CCEEFF" w:val="clear"/>
            <w:vAlign w:val="bottom"/>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5" w:name="d167098dex5.htm"/>
      <w:bookmarkStart w:id="6" w:name="ksd167098dex5"/>
      <w:bookmarkEnd w:id="5"/>
      <w:bookmarkEnd w:id="6"/>
      <w:r>
        <w:rPr>
          <w:rFonts w:ascii="Times New Roman" w:hAnsi="Times New Roman"/>
          <w:b/>
          <w:sz w:val="20"/>
        </w:rPr>
        <w:t xml:space="preserve">Exhibit 5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3336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2333625" cy="6572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Eledon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19800 MacArthur Blvd., Suite 250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b/>
          <w:i/>
          <w:sz w:val="20"/>
        </w:rPr>
        <w:t>Registration of Securities of Eledon Pharmaceuticals,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registration of up to 4,421,000 shares of Common Stock of Eledon Pharmaceuticals, Inc., a Delaware corporation (the “Company”), par value $0.001 per share (the “Shares”), under the Securities Act of 1933, as amended, pursuant to a Registration Statement on Form S-8 (the “Registration Statement”), filed with the Securities and Exchange Commission on or about the date hereof, such Shares to be issued or delivered pursuant to a stock option award granted under the Company’s Stock Option Agreement (Inducement Grant) (the “Inducement Agreement”) and awards to be issued and delivered pursuant to the Eledon Pharmaceuticals, Inc. 2020 Long Term Incentive Plan, as amended and restated (the “Plan”), you have requested my opinion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 my capacity as counsel, I have examined originals or copies of those corporate and other records of the Company I considered appropriate.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such examination and my consideration of those questions of law I considered relevant, and subject to the limitations and qualifications in this opinion, I am of the opinion that the Shares have been duly authorized by all necessary corporate action on the part of the Company and, when issued in accordance with such authorization, the provisions of the Inducement Agreement, the Plan and relevant agreements duly authorized by and in accordance with the terms of the Plan, and upon payment for and delivery of the Shares as contemplated in accordance with the Inducement Agreement and the Plan (as applicable), and either (a) the countersigning of the certificate or certificates representing the Shares by a duly authorized signatory of the registrar for the Company’s Common Stock, or (b) the book-entry of the Shares by the transfer agent for the Company’s Common Stock in the name of The Depository Trust Company or its nominee,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 consent to your filing this opinion as an exhibit to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53"/>
        <w:gridCol w:w="401"/>
        <w:gridCol w:w="1828"/>
      </w:tblGrid>
      <w:tr>
        <w:trPr/>
        <w:tc>
          <w:tcPr>
            <w:tcW w:w="1853"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Respectfully submitted,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Bryan Smith</w:t>
            </w:r>
          </w:p>
        </w:tc>
      </w:tr>
      <w:tr>
        <w:trPr/>
        <w:tc>
          <w:tcPr>
            <w:tcW w:w="4082" w:type="dxa"/>
            <w:gridSpan w:val="3"/>
            <w:tcBorders/>
          </w:tcPr>
          <w:p>
            <w:pPr>
              <w:pStyle w:val="TableContents"/>
              <w:bidi w:val="0"/>
              <w:spacing w:before="0" w:after="283"/>
              <w:jc w:val="left"/>
              <w:rPr/>
            </w:pPr>
            <w:r>
              <w:rPr/>
              <w:t>Bryan Smith</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
        <w:gridCol w:w="133"/>
        <w:gridCol w:w="3738"/>
        <w:gridCol w:w="510"/>
        <w:gridCol w:w="3491"/>
        <w:gridCol w:w="185"/>
        <w:gridCol w:w="1188"/>
      </w:tblGrid>
      <w:tr>
        <w:trPr/>
        <w:tc>
          <w:tcPr>
            <w:tcW w:w="9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960" w:type="dxa"/>
            <w:tcBorders>
              <w:top w:val="single" w:sz="2" w:space="0" w:color="000000"/>
            </w:tcBorders>
            <w:tcMar>
              <w:top w:w="28" w:type="dxa"/>
            </w:tcMar>
          </w:tcPr>
          <w:p>
            <w:pPr>
              <w:pStyle w:val="TableContents"/>
              <w:bidi w:val="0"/>
              <w:spacing w:before="0" w:after="283"/>
              <w:jc w:val="left"/>
              <w:rPr/>
            </w:pPr>
            <w:r>
              <w:rPr/>
              <w:t> </w:t>
            </w:r>
          </w:p>
        </w:tc>
        <w:tc>
          <w:tcPr>
            <w:tcW w:w="133" w:type="dxa"/>
            <w:tcBorders>
              <w:top w:val="single" w:sz="2" w:space="0" w:color="000000"/>
            </w:tcBorders>
            <w:tcMar>
              <w:top w:w="28" w:type="dxa"/>
            </w:tcMar>
            <w:vAlign w:val="bottom"/>
          </w:tcPr>
          <w:p>
            <w:pPr>
              <w:pStyle w:val="TableContents"/>
              <w:bidi w:val="0"/>
              <w:spacing w:before="0" w:after="283"/>
              <w:jc w:val="left"/>
              <w:rPr/>
            </w:pPr>
            <w:r>
              <w:rPr/>
              <w:t> </w:t>
            </w:r>
          </w:p>
        </w:tc>
        <w:tc>
          <w:tcPr>
            <w:tcW w:w="7739" w:type="dxa"/>
            <w:gridSpan w:val="3"/>
            <w:tcBorders>
              <w:top w:val="single" w:sz="2" w:space="0" w:color="000000"/>
            </w:tcBorders>
            <w:tcMar>
              <w:top w:w="28" w:type="dxa"/>
            </w:tcMar>
          </w:tcPr>
          <w:p>
            <w:pPr>
              <w:pStyle w:val="TableContents"/>
              <w:bidi w:val="0"/>
              <w:spacing w:before="0" w:after="0"/>
              <w:jc w:val="center"/>
              <w:rPr>
                <w:rFonts w:ascii="Times New Roman" w:hAnsi="Times New Roman"/>
                <w:sz w:val="20"/>
              </w:rPr>
            </w:pPr>
            <w:r>
              <w:rPr>
                <w:rFonts w:ascii="Times New Roman" w:hAnsi="Times New Roman"/>
                <w:sz w:val="20"/>
              </w:rPr>
              <w:t>19800 MACARTHUR BLVD., SUITE 250, IRVINE, CALIFORNIA 92612</w:t>
            </w:r>
          </w:p>
          <w:p>
            <w:pPr>
              <w:pStyle w:val="TableContents"/>
              <w:bidi w:val="0"/>
              <w:spacing w:before="0" w:after="20"/>
              <w:jc w:val="center"/>
              <w:rPr>
                <w:rFonts w:ascii="Times New Roman" w:hAnsi="Times New Roman"/>
                <w:sz w:val="20"/>
              </w:rPr>
            </w:pPr>
            <w:r>
              <w:rPr>
                <w:rFonts w:ascii="Times New Roman" w:hAnsi="Times New Roman"/>
                <w:sz w:val="20"/>
              </w:rPr>
              <w:t>+1 (949) 238-8090 | www.eledon.com</w:t>
            </w:r>
          </w:p>
        </w:tc>
        <w:tc>
          <w:tcPr>
            <w:tcW w:w="185" w:type="dxa"/>
            <w:tcBorders>
              <w:top w:val="single" w:sz="2" w:space="0" w:color="000000"/>
            </w:tcBorders>
            <w:tcMar>
              <w:top w:w="28" w:type="dxa"/>
            </w:tcMar>
            <w:vAlign w:val="bottom"/>
          </w:tcPr>
          <w:p>
            <w:pPr>
              <w:pStyle w:val="TableContents"/>
              <w:bidi w:val="0"/>
              <w:spacing w:before="0" w:after="283"/>
              <w:jc w:val="left"/>
              <w:rPr/>
            </w:pPr>
            <w:r>
              <w:rPr/>
              <w:t>  </w:t>
            </w:r>
          </w:p>
        </w:tc>
        <w:tc>
          <w:tcPr>
            <w:tcW w:w="1188" w:type="dxa"/>
            <w:tcBorders>
              <w:top w:val="single" w:sz="2" w:space="0" w:color="000000"/>
            </w:tcBorders>
            <w:tcMar>
              <w:top w:w="28" w:type="dxa"/>
            </w:tcMar>
          </w:tcPr>
          <w:p>
            <w:pPr>
              <w:pStyle w:val="TableContents"/>
              <w:bidi w:val="0"/>
              <w:spacing w:before="0" w:after="283"/>
              <w:jc w:val="right"/>
              <w:rPr/>
            </w:pPr>
            <w:r>
              <w:rPr>
                <w:sz w:val="20"/>
              </w:rPr>
              <w:t>PAGE</w:t>
            </w:r>
            <w:r>
              <w:rPr/>
              <w:t xml:space="preserve"> -1-</w:t>
            </w:r>
          </w:p>
        </w:tc>
      </w:tr>
    </w:tbl>
    <w:p>
      <w:pPr>
        <w:pStyle w:val="TextBody"/>
        <w:bidi w:val="0"/>
        <w:spacing w:before="0" w:after="0"/>
        <w:jc w:val="right"/>
        <w:rPr>
          <w:rFonts w:ascii="Times New Roman" w:hAnsi="Times New Roman"/>
          <w:sz w:val="20"/>
        </w:rPr>
      </w:pPr>
      <w:bookmarkStart w:id="7" w:name="d167098dex231.htm"/>
      <w:bookmarkStart w:id="8" w:name="ksd167098dex231"/>
      <w:bookmarkEnd w:id="7"/>
      <w:bookmarkEnd w:id="8"/>
      <w:r>
        <w:rPr>
          <w:rFonts w:ascii="Times New Roman" w:hAnsi="Times New Roman"/>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March 19, 2026 relating to the financial statements of Eledon Pharmaceuticals, Inc., appearing in the Annual Report on Form 10-K of Eledon Pharmaceuticals, Inc.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0" w:after="0"/>
        <w:jc w:val="left"/>
        <w:rPr>
          <w:rFonts w:ascii="Times New Roman" w:hAnsi="Times New Roman"/>
          <w:sz w:val="20"/>
        </w:rPr>
      </w:pPr>
      <w:r>
        <w:rPr>
          <w:rFonts w:ascii="Times New Roman" w:hAnsi="Times New Roman"/>
          <w:sz w:val="20"/>
        </w:rPr>
        <w:t xml:space="preserve">Costa Mesa, CA </w:t>
      </w:r>
    </w:p>
    <w:p>
      <w:pPr>
        <w:pStyle w:val="TextBody"/>
        <w:bidi w:val="0"/>
        <w:spacing w:before="0" w:after="0"/>
        <w:jc w:val="left"/>
        <w:rPr>
          <w:rFonts w:ascii="Times New Roman" w:hAnsi="Times New Roman"/>
          <w:sz w:val="20"/>
        </w:rPr>
      </w:pPr>
      <w:r>
        <w:rPr>
          <w:rFonts w:ascii="Times New Roman" w:hAnsi="Times New Roman"/>
          <w:sz w:val="20"/>
        </w:rPr>
        <w:t xml:space="preserve">September 4, 2026 </w:t>
      </w:r>
    </w:p>
    <w:p>
      <w:pPr>
        <w:pStyle w:val="TextBody"/>
        <w:bidi w:val="0"/>
        <w:spacing w:before="0" w:after="0"/>
        <w:jc w:val="right"/>
        <w:rPr>
          <w:rFonts w:ascii="Times New Roman" w:hAnsi="Times New Roman"/>
          <w:sz w:val="20"/>
        </w:rPr>
      </w:pPr>
      <w:bookmarkStart w:id="9" w:name="d167098dex232.htm"/>
      <w:bookmarkStart w:id="10" w:name="ksd167098dex232"/>
      <w:bookmarkEnd w:id="9"/>
      <w:bookmarkEnd w:id="10"/>
      <w:r>
        <w:rPr>
          <w:rFonts w:ascii="Times New Roman" w:hAnsi="Times New Roman"/>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Eledon Pharmaceuticals, Inc. of our report dated March 20, 2025 (except for Note 9, as to which the date is August 14, 2025) relating to the consolidated balance sheet of Eledon Pharmaceuticals, Inc. as of December 31, 2024 and the consolidated statements of operations and comprehensive loss, convertible preferred stock and stockholders’ equity, and cash flows for the year then ended, appearing in the Annual Report on Form 10-K of Eledon Pharmaceuticals, Inc.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Crowe LLP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4, 2026 </w:t>
      </w:r>
    </w:p>
    <w:p>
      <w:pPr>
        <w:pStyle w:val="Normal"/>
        <w:bidi w:val="0"/>
        <w:spacing w:before="0" w:after="0"/>
        <w:jc w:val="left"/>
        <w:rPr>
          <w:sz w:val="4"/>
          <w:szCs w:val="4"/>
        </w:rPr>
      </w:pPr>
      <w:r>
        <w:rPr>
          <w:sz w:val="4"/>
          <w:szCs w:val="4"/>
        </w:rPr>
      </w:r>
      <w:bookmarkStart w:id="11" w:name="d167098dexfilingfees.htm"/>
      <w:bookmarkStart w:id="12" w:name="ksd167098dexfilingfees"/>
      <w:bookmarkStart w:id="13" w:name="d167098dexfilingfees.htm"/>
      <w:bookmarkStart w:id="14" w:name="ksd167098dexfilingfees"/>
      <w:bookmarkEnd w:id="13"/>
      <w:bookmarkEnd w:id="14"/>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Eledon Pharmaceuticals,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84" w:type="dxa"/>
        <w:jc w:val="left"/>
        <w:tblInd w:w="0" w:type="dxa"/>
        <w:tblLayout w:type="fixed"/>
        <w:tblCellMar>
          <w:top w:w="28" w:type="dxa"/>
          <w:left w:w="28" w:type="dxa"/>
          <w:bottom w:w="28" w:type="dxa"/>
          <w:right w:w="28" w:type="dxa"/>
        </w:tblCellMar>
      </w:tblPr>
      <w:tblGrid>
        <w:gridCol w:w="241"/>
        <w:gridCol w:w="946"/>
        <w:gridCol w:w="1291"/>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of $0.001 per share, issuable pursuant to the Registrant's 2020 Long Term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3,500,000 </w:t>
            </w:r>
          </w:p>
        </w:tc>
        <w:tc>
          <w:tcPr>
            <w:tcW w:w="1156" w:type="dxa"/>
            <w:tcBorders/>
            <w:shd w:fill="E7E7E2" w:val="clear"/>
            <w:vAlign w:val="center"/>
          </w:tcPr>
          <w:p>
            <w:pPr>
              <w:pStyle w:val="TableContents"/>
              <w:bidi w:val="0"/>
              <w:spacing w:before="0" w:after="283"/>
              <w:jc w:val="right"/>
              <w:rPr/>
            </w:pPr>
            <w:r>
              <w:rPr/>
              <w:t xml:space="preserve">$ 2.96 </w:t>
            </w:r>
          </w:p>
        </w:tc>
        <w:tc>
          <w:tcPr>
            <w:tcW w:w="1666" w:type="dxa"/>
            <w:tcBorders/>
            <w:shd w:fill="E7E7E2" w:val="clear"/>
            <w:vAlign w:val="center"/>
          </w:tcPr>
          <w:p>
            <w:pPr>
              <w:pStyle w:val="TableContents"/>
              <w:bidi w:val="0"/>
              <w:spacing w:before="0" w:after="283"/>
              <w:jc w:val="right"/>
              <w:rPr/>
            </w:pPr>
            <w:r>
              <w:rPr/>
              <w:t xml:space="preserve">$ 10,360,000.00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$ 1,430.72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of $0.001 per share, issuable pursuant to the Registrant's Stock Option Agreement (Inducement Grant)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921,000 </w:t>
            </w:r>
          </w:p>
        </w:tc>
        <w:tc>
          <w:tcPr>
            <w:tcW w:w="1156" w:type="dxa"/>
            <w:tcBorders/>
            <w:shd w:fill="E7E7E2" w:val="clear"/>
            <w:vAlign w:val="center"/>
          </w:tcPr>
          <w:p>
            <w:pPr>
              <w:pStyle w:val="TableContents"/>
              <w:bidi w:val="0"/>
              <w:spacing w:before="0" w:after="283"/>
              <w:jc w:val="right"/>
              <w:rPr/>
            </w:pPr>
            <w:r>
              <w:rPr/>
              <w:t xml:space="preserve">$ 1.14 </w:t>
            </w:r>
          </w:p>
        </w:tc>
        <w:tc>
          <w:tcPr>
            <w:tcW w:w="1666" w:type="dxa"/>
            <w:tcBorders/>
            <w:shd w:fill="E7E7E2" w:val="clear"/>
            <w:vAlign w:val="center"/>
          </w:tcPr>
          <w:p>
            <w:pPr>
              <w:pStyle w:val="TableContents"/>
              <w:bidi w:val="0"/>
              <w:spacing w:before="0" w:after="283"/>
              <w:jc w:val="right"/>
              <w:rPr/>
            </w:pPr>
            <w:r>
              <w:rPr/>
              <w:t xml:space="preserve">$ 1,049,940.00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$ 145.00 </w:t>
            </w:r>
          </w:p>
        </w:tc>
      </w:tr>
      <w:tr>
        <w:trPr/>
        <w:tc>
          <w:tcPr>
            <w:tcW w:w="49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5" w:name="MaxAggtOfferingPrice"/>
            <w:bookmarkEnd w:id="15"/>
            <w:r>
              <w:rPr/>
              <w:t xml:space="preserve">$ 11,409,940.00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$ 1,575.72 </w:t>
            </w:r>
          </w:p>
        </w:tc>
      </w:tr>
      <w:tr>
        <w:trPr/>
        <w:tc>
          <w:tcPr>
            <w:tcW w:w="49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9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8" w:name="NetFeeAmt"/>
            <w:bookmarkEnd w:id="18"/>
            <w:r>
              <w:rPr/>
              <w:t xml:space="preserve">$ 1,575.72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This Registration Statement covers, in addition to the number of shares of Eledon Pharmaceuticals, Inc., a Delaware corporation (the "Company" or the "Registrant"), common stock, par value $0.001 per share (the "Common Stock"), stated above, options and other rights to purchase or acquire the shares of Common Stock covered by this Registration Statement and, pursuant to Rule 416 under the Securities Act of 1933, as amended (the "Securities Act"), an additional indeterminate number of shares, options and rights that may be offered or issued pursuant to the Company's Stock Option Agreement (Inducement Grant) (the "Inducement Agreement") and the Eledon Pharmaceuticals, Inc. 2020 Long Term Incentive Plan (the "Plan") as a result of one or more adjustments under the Inducement Agreement and the Plan to prevent dilution resulting from one or more stock splits, stock dividends or similar transactions. The offering price per share and the aggregate offering price have been estimated solely for the purpose of calculating the amount of the registration fee. The offering price per share and the aggregate offering price are based upon, with respect to the Plan shares, the average of the high and low prices of the Registrant's common stock as reported on the Nasdaq Stock Market on September 1, 2026, and with respect to the Inducement Agreement shares, the exercise price for such shares pursuant to the Inducement Agreement. The registration fee has been calculated in accordance with Rule 457(h) and Rule 457(c) promulgated under the Securities Act.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04281/000119312521111836/d168219ds8.htm" TargetMode="External"/><Relationship Id="rId3" Type="http://schemas.openxmlformats.org/officeDocument/2006/relationships/hyperlink" Target="http://www.sec.gov/Archives/edgar/data/1404281/000095017023041515/eldn_2023.08_s-8.htm" TargetMode="External"/><Relationship Id="rId4" Type="http://schemas.openxmlformats.org/officeDocument/2006/relationships/hyperlink" Target="http://www.sec.gov/Archives/edgar/data/../../../ix?doc=/Archives/edgar/data/1404281/000119312526116164/eldn-20251231.htm" TargetMode="External"/><Relationship Id="rId5" Type="http://schemas.openxmlformats.org/officeDocument/2006/relationships/hyperlink" Target="http://www.sec.gov/Archives/edgar/data/../../../ix?doc=/Archives/edgar/data/1404281/000119312526197732/eldn-20260430.htm" TargetMode="External"/><Relationship Id="rId6" Type="http://schemas.openxmlformats.org/officeDocument/2006/relationships/hyperlink" Target="http://www.sec.gov/Archives/edgar/data/../../../ix?doc=/Archives/edgar/data/1404281/000119312526116164/eldn-20251231.htm" TargetMode="External"/><Relationship Id="rId7" Type="http://schemas.openxmlformats.org/officeDocument/2006/relationships/hyperlink" Target="http://www.sec.gov/Archives/edgar/data/../../../ix?doc=/Archives/edgar/data/1404281/000119312526221702/eldn-20260331.htm" TargetMode="External"/><Relationship Id="rId8" Type="http://schemas.openxmlformats.org/officeDocument/2006/relationships/hyperlink" Target="http://www.sec.gov/Archives/edgar/data/../../../ix?doc=/Archives/edgar/data/1404281/000119312526349314/eldn-20260630.htm" TargetMode="External"/><Relationship Id="rId9" Type="http://schemas.openxmlformats.org/officeDocument/2006/relationships/hyperlink" Target="http://www.sec.gov/Archives/edgar/data/../../../ix?doc=/Archives/edgar/data/1404281/000119312526000968/eldn-20251230.htm" TargetMode="External"/><Relationship Id="rId10" Type="http://schemas.openxmlformats.org/officeDocument/2006/relationships/hyperlink" Target="http://www.sec.gov/Archives/edgar/data/../../../ix?doc=/Archives/edgar/data/1404281/000119312526277653/eldn-20260618.htm" TargetMode="External"/><Relationship Id="rId11" Type="http://schemas.openxmlformats.org/officeDocument/2006/relationships/hyperlink" Target="http://www.sec.gov/Archives/edgar/data/1404281/000119312526116164/eldn-ex4_8.htm" TargetMode="External"/><Relationship Id="rId12" Type="http://schemas.openxmlformats.org/officeDocument/2006/relationships/hyperlink" Target="http://www.sec.gov/Archives/edgar/data/1404281/000095017024082730/eldn-ex10_1.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5477</Words>
  <Characters>29419</Characters>
  <CharactersWithSpaces>35172</CharactersWithSpaces>
  <Paragraphs>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