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20" w:after="283"/>
        <w:jc w:val="center"/>
        <w:rPr>
          <w:rFonts w:ascii="Times New Roman" w:hAnsi="Times New Roman"/>
          <w:sz w:val="20"/>
        </w:rPr>
      </w:pPr>
      <w:bookmarkStart w:id="0" w:name="eldn-20260429.htm"/>
      <w:bookmarkStart w:id="1" w:name="kseldn20260429"/>
      <w:bookmarkEnd w:id="0"/>
      <w:bookmarkEnd w:id="1"/>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SCHEDULE 14A</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20"/>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(Amendment 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Filed by the Registrant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Filed by a Party other than the Registrant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Check the appropriate box:</w:t>
      </w:r>
      <w:r>
        <w:rPr>
          <w:rFonts w:ascii="Times New Roman" w:hAnsi="Times New Roman"/>
          <w:color w:val="000000"/>
          <w:sz w:val="20"/>
        </w:rPr>
        <w:t xml:space="preserve"> </w:t>
      </w:r>
    </w:p>
    <w:tbl>
      <w:tblPr>
        <w:tblW w:w="6257" w:type="dxa"/>
        <w:jc w:val="left"/>
        <w:tblInd w:w="0" w:type="dxa"/>
        <w:tblLayout w:type="fixed"/>
        <w:tblCellMar>
          <w:top w:w="28" w:type="dxa"/>
          <w:left w:w="28" w:type="dxa"/>
          <w:bottom w:w="28" w:type="dxa"/>
          <w:right w:w="28" w:type="dxa"/>
        </w:tblCellMar>
      </w:tblPr>
      <w:tblGrid>
        <w:gridCol w:w="331"/>
        <w:gridCol w:w="5926"/>
      </w:tblGrid>
      <w:tr>
        <w:trPr/>
        <w:tc>
          <w:tcPr>
            <w:tcW w:w="331"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5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59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5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59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5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59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5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59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5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Soliciting Material Pursuant to §240.14a-12</w:t>
            </w:r>
          </w:p>
        </w:tc>
      </w:tr>
    </w:tbl>
    <w:p>
      <w:pPr>
        <w:pStyle w:val="TextBody"/>
        <w:bidi w:val="0"/>
        <w:spacing w:before="100" w:after="283"/>
        <w:jc w:val="center"/>
        <w:rPr>
          <w:rFonts w:ascii="Times New Roman" w:hAnsi="Times New Roman"/>
          <w:sz w:val="20"/>
        </w:rPr>
      </w:pPr>
      <w:r>
        <w:rPr>
          <w:rFonts w:ascii="Times New Roman" w:hAnsi="Times New Roman"/>
          <w:b/>
          <w:color w:val="000000"/>
          <w:sz w:val="36"/>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(Name of Registrant as Specified in Its Charter)</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8"/>
        </w:rPr>
        <w:t>Payment of Filing Fee (Check all boxes that apply):</w:t>
      </w:r>
      <w:r>
        <w:rPr>
          <w:rFonts w:ascii="Times New Roman" w:hAnsi="Times New Roman"/>
          <w:color w:val="000000"/>
          <w:sz w:val="20"/>
        </w:rPr>
        <w:t xml:space="preserve"> </w:t>
      </w:r>
    </w:p>
    <w:p>
      <w:pPr>
        <w:pStyle w:val="TextBody"/>
        <w:bidi w:val="0"/>
        <w:jc w:val="left"/>
        <w:rPr/>
      </w:pPr>
      <w:r>
        <w:rPr/>
        <w:t> </w:t>
      </w:r>
    </w:p>
    <w:tbl>
      <w:tblPr>
        <w:tblW w:w="7682" w:type="dxa"/>
        <w:jc w:val="left"/>
        <w:tblInd w:w="0" w:type="dxa"/>
        <w:tblLayout w:type="fixed"/>
        <w:tblCellMar>
          <w:top w:w="28" w:type="dxa"/>
          <w:left w:w="28" w:type="dxa"/>
          <w:bottom w:w="28" w:type="dxa"/>
          <w:right w:w="28" w:type="dxa"/>
        </w:tblCellMar>
      </w:tblPr>
      <w:tblGrid>
        <w:gridCol w:w="331"/>
        <w:gridCol w:w="7351"/>
      </w:tblGrid>
      <w:tr>
        <w:trPr/>
        <w:tc>
          <w:tcPr>
            <w:tcW w:w="33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3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73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73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73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 computed on table in exhibit required by Item 25(b) per Exchange Act Rules 14a-6(i)(1) and 0-11</w:t>
            </w:r>
          </w:p>
        </w:tc>
      </w:tr>
    </w:tbl>
    <w:p>
      <w:pPr>
        <w:pStyle w:val="TextBody"/>
        <w:pBdr>
          <w:bottom w:val="double" w:sz="4" w:space="1" w:color="000000"/>
        </w:pBdr>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El</w:t>
      </w:r>
      <w:r>
        <w:rPr>
          <w:rFonts w:ascii="Times New Roman" w:hAnsi="Times New Roman"/>
          <w:sz w:val="20"/>
        </w:rPr>
        <w:drawing>
          <wp:inline distT="0" distB="0" distL="0" distR="0">
            <wp:extent cx="6858000" cy="886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8867775"/>
                    </a:xfrm>
                    <a:prstGeom prst="rect">
                      <a:avLst/>
                    </a:prstGeom>
                  </pic:spPr>
                </pic:pic>
              </a:graphicData>
            </a:graphic>
          </wp:inline>
        </w:drawing>
      </w:r>
      <w:r>
        <w:rPr>
          <w:rFonts w:ascii="Times New Roman" w:hAnsi="Times New Roman"/>
          <w:color w:val="FFFFFF"/>
          <w:sz w:val="2"/>
        </w:rPr>
        <w:t xml:space="preserve">edon Pharmaceuticals P.O. BOX 8016, CARY, NC 27512-9903 Your vote matters! Eledon Pharmaceuticals, Inc. Annual Meeting of Stockholders Tuesday, June 10, 2025 11:30 AM, Pacific Time Eledon Pharmaceuticals, 19800 MacArthur Boulevard, Suite 250, Irvine, CA 92612 For a convenient way to view proxy materials, VOTE, and obtain directions to attend the meeting go to www.proxydocs.com/ELDN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May 30, 2025. Meeting Materials: Notice of Meeting and Proxy Statement &amp; Annual Report or Form 10-K Important Notice Regarding the Availability of Proxy Materials for the Stockholders Meeting To Be Held On June 10, 2025 For Stockholders of record as of April 11, 2025 To order paper materials, use one of the following methods. Logo Internet: </w:t>
      </w:r>
      <w:r>
        <w:rPr>
          <w:rFonts w:ascii="Times New Roman" w:hAnsi="Times New Roman"/>
          <w:color w:val="FFFFFF"/>
          <w:sz w:val="2"/>
          <w:u w:val="single"/>
        </w:rPr>
        <w:t>www.investorelections.com/ELDN</w:t>
      </w:r>
      <w:r>
        <w:rPr>
          <w:rFonts w:ascii="Times New Roman" w:hAnsi="Times New Roman"/>
          <w:color w:val="FFFFFF"/>
          <w:sz w:val="20"/>
        </w:rPr>
        <w:t xml:space="preserve"> </w:t>
      </w:r>
      <w:r>
        <w:rPr>
          <w:rFonts w:ascii="Times New Roman" w:hAnsi="Times New Roman"/>
          <w:color w:val="FFFFFF"/>
          <w:sz w:val="2"/>
        </w:rPr>
        <w:t xml:space="preserve">Logo Call: 1-866-648-8133 Logo Email: </w:t>
      </w:r>
      <w:r>
        <w:rPr>
          <w:rFonts w:ascii="Times New Roman" w:hAnsi="Times New Roman"/>
          <w:color w:val="FFFFFF"/>
          <w:sz w:val="2"/>
          <w:u w:val="single"/>
        </w:rPr>
        <w:t>paper@investorelections.com</w:t>
      </w:r>
      <w:r>
        <w:rPr>
          <w:rFonts w:ascii="Times New Roman" w:hAnsi="Times New Roman"/>
          <w:color w:val="FFFFFF"/>
          <w:sz w:val="20"/>
        </w:rPr>
        <w:t xml:space="preserve"> </w:t>
      </w:r>
      <w:r>
        <w:rPr>
          <w:rFonts w:ascii="Times New Roman" w:hAnsi="Times New Roman"/>
          <w:color w:val="FFFFFF"/>
          <w:sz w:val="2"/>
        </w:rPr>
        <w:t>*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SEE REVERSE FOR FULL AGENDA Copyright © 2025 BetaNXT, Inc. or its affiliates. All Rights Reserved</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Eledon Pharmaceuticals Eledon Pharmaceuticals, Inc. Annual Meeting of Stockholders THE BOARD OF DIRECTORS RECOMMENDS A VOTE: FOR ON PROPOSALS 1, 2, 3 and 4 PROPOSAL 1. Election of Class II Directors 1.01 Keith A. Katkin 1.02 Allan D. Kirk, M.D., Ph.D., FACS 1.03 John S. McBride 2. Approval of an amendment to the Certificate of Incorporation, to increase the number of authorized shares of Common Stock from 200,000,000 to 300,000,000. 3. Approval of an amendment to the Certificate of Incorporation, to provide for exculpation of certain officers. 4. Ratification of the appointment of Deloitte &amp; Touche LLP as our independent registered public accounting firm for the year ending December 31, 2025. NOTE: Such other business as may properly come before the meeting or any adjournment thereof.</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3168</Characters>
  <CharactersWithSpaces>3773</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