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Perrin Steven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ELEDON PHARMACEUTICALS,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19800 MACARTHUR BLVD STE. 250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IRVINE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92612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Eledon Pharmaceuticals,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ELDN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1016"/>
        <w:gridCol w:w="453"/>
        <w:gridCol w:w="669"/>
        <w:gridCol w:w="1161"/>
        <w:gridCol w:w="99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152,353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153,353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72,138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3.38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81,215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issuable on settlement of a retention bonus award granted to the Reporting Person. The retention bonus agreement was entered into on April 27, 2023.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shares withheld to pay tax withholding obligations due on the date of settlement.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Paul Little, as attorney-in-fact for Steven Perrin, Ph.D.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24545" TargetMode="External"/><Relationship Id="rId5" Type="http://schemas.openxmlformats.org/officeDocument/2006/relationships/hyperlink" Target="http://www.sec.gov/cgi-bin/browse-edgar?action=getcompany&amp;CIK=000140428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621</Words>
  <Characters>3389</Characters>
  <CharactersWithSpaces>3933</CharactersWithSpaces>
  <Paragraphs>106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