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Gros David-Alexandre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ELEDON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19800 MACARTHUR BLVD STE. 250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Eledon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ELDN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1016"/>
        <w:gridCol w:w="453"/>
        <w:gridCol w:w="669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354,454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363,454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194,791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3.38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168,663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issuable on settlement of a retention bonus award granted to the Reporting Person. The retention bonus agreement was entered into on April 27,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to pay tax withholding obligations due on the date of settlement.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Little, as attorney-in-fact for David-Alexandre C. Gros, M.D.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44489" TargetMode="External"/><Relationship Id="rId5" Type="http://schemas.openxmlformats.org/officeDocument/2006/relationships/hyperlink" Target="http://www.sec.gov/cgi-bin/browse-edgar?action=getcompany&amp;CIK=0001404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625</Words>
  <Characters>3419</Characters>
  <CharactersWithSpaces>3967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